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C55" w:rsidRPr="00C05C55" w:rsidRDefault="00C05C55" w:rsidP="00C05C55">
      <w:pPr>
        <w:pStyle w:val="Default"/>
        <w:tabs>
          <w:tab w:val="decimal" w:pos="4860"/>
        </w:tabs>
        <w:jc w:val="center"/>
        <w:rPr>
          <w:color w:val="000000" w:themeColor="text1"/>
          <w:sz w:val="28"/>
          <w:szCs w:val="28"/>
        </w:rPr>
      </w:pPr>
      <w:bookmarkStart w:id="0" w:name="_GoBack"/>
      <w:bookmarkEnd w:id="0"/>
      <w:r w:rsidRPr="00C05C55">
        <w:rPr>
          <w:b/>
          <w:bCs/>
          <w:color w:val="000000" w:themeColor="text1"/>
          <w:sz w:val="28"/>
          <w:szCs w:val="28"/>
        </w:rPr>
        <w:t>Instructions for Completing the Authorization</w:t>
      </w:r>
    </w:p>
    <w:p w:rsidR="00C05C55" w:rsidRPr="00C05C55" w:rsidRDefault="00C05C55" w:rsidP="00C05C55">
      <w:pPr>
        <w:pStyle w:val="CM4"/>
        <w:spacing w:after="100"/>
        <w:jc w:val="center"/>
        <w:rPr>
          <w:b/>
          <w:color w:val="000000" w:themeColor="text1"/>
          <w:sz w:val="28"/>
          <w:szCs w:val="28"/>
        </w:rPr>
      </w:pPr>
      <w:r w:rsidRPr="00C05C55">
        <w:rPr>
          <w:b/>
          <w:color w:val="000000" w:themeColor="text1"/>
          <w:sz w:val="28"/>
          <w:szCs w:val="28"/>
        </w:rPr>
        <w:t>for Use and Disclosure of Information Form YCHHS 2099</w:t>
      </w:r>
    </w:p>
    <w:p w:rsidR="006B34F3" w:rsidRPr="00C05C55" w:rsidRDefault="00C05C55" w:rsidP="00C05C55">
      <w:pPr>
        <w:pStyle w:val="Default"/>
        <w:tabs>
          <w:tab w:val="decimal" w:pos="4860"/>
        </w:tabs>
        <w:ind w:left="-180" w:right="-510"/>
        <w:jc w:val="center"/>
        <w:rPr>
          <w:color w:val="000000" w:themeColor="text1"/>
          <w:sz w:val="28"/>
          <w:szCs w:val="28"/>
        </w:rPr>
      </w:pPr>
      <w:r w:rsidRPr="00C05C55">
        <w:rPr>
          <w:color w:val="000000" w:themeColor="text1"/>
          <w:sz w:val="28"/>
          <w:szCs w:val="28"/>
        </w:rPr>
        <w:t>Yamhill County Health and Human Services</w:t>
      </w:r>
    </w:p>
    <w:p w:rsidR="006B34F3" w:rsidRDefault="006B34F3" w:rsidP="006B34F3">
      <w:pPr>
        <w:pStyle w:val="Default"/>
        <w:sectPr w:rsidR="006B34F3" w:rsidSect="00C05C55">
          <w:headerReference w:type="even" r:id="rId9"/>
          <w:headerReference w:type="default" r:id="rId10"/>
          <w:footerReference w:type="even" r:id="rId11"/>
          <w:footerReference w:type="default" r:id="rId12"/>
          <w:headerReference w:type="first" r:id="rId13"/>
          <w:footerReference w:type="first" r:id="rId14"/>
          <w:pgSz w:w="12240" w:h="16340"/>
          <w:pgMar w:top="720" w:right="360" w:bottom="720" w:left="180" w:header="720" w:footer="360" w:gutter="0"/>
          <w:cols w:space="540"/>
          <w:noEndnote/>
          <w:docGrid w:linePitch="299"/>
        </w:sectPr>
      </w:pPr>
    </w:p>
    <w:p w:rsidR="006B34F3" w:rsidRPr="006B34F3" w:rsidRDefault="006B34F3" w:rsidP="006B34F3">
      <w:pPr>
        <w:pStyle w:val="Default"/>
      </w:pPr>
    </w:p>
    <w:tbl>
      <w:tblPr>
        <w:tblStyle w:val="TableGrid"/>
        <w:tblW w:w="0" w:type="auto"/>
        <w:tblLook w:val="04A0" w:firstRow="1" w:lastRow="0" w:firstColumn="1" w:lastColumn="0" w:noHBand="0" w:noVBand="1"/>
      </w:tblPr>
      <w:tblGrid>
        <w:gridCol w:w="1637"/>
        <w:gridCol w:w="9379"/>
      </w:tblGrid>
      <w:tr w:rsidR="005707B6" w:rsidRPr="00253846" w:rsidTr="00253846">
        <w:tc>
          <w:tcPr>
            <w:tcW w:w="11016" w:type="dxa"/>
            <w:gridSpan w:val="2"/>
            <w:shd w:val="clear" w:color="auto" w:fill="F2F2F2" w:themeFill="background1" w:themeFillShade="F2"/>
          </w:tcPr>
          <w:p w:rsidR="005707B6" w:rsidRPr="00253846" w:rsidRDefault="005707B6">
            <w:pPr>
              <w:pStyle w:val="Default"/>
              <w:rPr>
                <w:b/>
                <w:color w:val="auto"/>
                <w:highlight w:val="lightGray"/>
              </w:rPr>
            </w:pPr>
            <w:r w:rsidRPr="00253846">
              <w:rPr>
                <w:b/>
                <w:color w:val="auto"/>
              </w:rPr>
              <w:t>Section A</w:t>
            </w:r>
          </w:p>
        </w:tc>
      </w:tr>
      <w:tr w:rsidR="005707B6" w:rsidRPr="00253846" w:rsidTr="00253846">
        <w:tc>
          <w:tcPr>
            <w:tcW w:w="1638" w:type="dxa"/>
          </w:tcPr>
          <w:p w:rsidR="005707B6" w:rsidRPr="00253846" w:rsidRDefault="005707B6">
            <w:pPr>
              <w:pStyle w:val="Default"/>
              <w:rPr>
                <w:b/>
                <w:color w:val="auto"/>
              </w:rPr>
            </w:pPr>
            <w:r w:rsidRPr="00253846">
              <w:rPr>
                <w:b/>
                <w:color w:val="auto"/>
              </w:rPr>
              <w:t xml:space="preserve">Release </w:t>
            </w:r>
          </w:p>
          <w:p w:rsidR="005707B6" w:rsidRPr="00253846" w:rsidRDefault="005707B6">
            <w:pPr>
              <w:pStyle w:val="Default"/>
              <w:rPr>
                <w:color w:val="auto"/>
              </w:rPr>
            </w:pPr>
            <w:r w:rsidRPr="00253846">
              <w:rPr>
                <w:b/>
                <w:color w:val="auto"/>
              </w:rPr>
              <w:t>from:</w:t>
            </w:r>
          </w:p>
        </w:tc>
        <w:tc>
          <w:tcPr>
            <w:tcW w:w="9378" w:type="dxa"/>
          </w:tcPr>
          <w:p w:rsidR="005707B6" w:rsidRPr="00253846" w:rsidRDefault="005707B6" w:rsidP="005707B6">
            <w:pPr>
              <w:pStyle w:val="NormalWeb"/>
              <w:shd w:val="clear" w:color="auto" w:fill="FFFFFF"/>
              <w:spacing w:after="0" w:line="0" w:lineRule="atLeast"/>
              <w:rPr>
                <w:rFonts w:ascii="Arial" w:hAnsi="Arial" w:cs="Arial"/>
              </w:rPr>
            </w:pPr>
            <w:r w:rsidRPr="00253846">
              <w:rPr>
                <w:rFonts w:ascii="Arial" w:hAnsi="Arial" w:cs="Arial"/>
              </w:rPr>
              <w:t>This section is meant for an individual record holder name</w:t>
            </w:r>
            <w:r w:rsidR="00BA3D03" w:rsidRPr="00253846">
              <w:rPr>
                <w:rFonts w:ascii="Arial" w:hAnsi="Arial" w:cs="Arial"/>
              </w:rPr>
              <w:t xml:space="preserve"> or a general designation of class </w:t>
            </w:r>
            <w:r w:rsidR="009B611A">
              <w:rPr>
                <w:rFonts w:ascii="Arial" w:hAnsi="Arial" w:cs="Arial"/>
              </w:rPr>
              <w:t xml:space="preserve">or categories </w:t>
            </w:r>
            <w:r w:rsidR="00BA3D03" w:rsidRPr="00253846">
              <w:rPr>
                <w:rFonts w:ascii="Arial" w:hAnsi="Arial" w:cs="Arial"/>
              </w:rPr>
              <w:t>of persons</w:t>
            </w:r>
            <w:r w:rsidR="006329AD">
              <w:rPr>
                <w:rFonts w:ascii="Arial" w:hAnsi="Arial" w:cs="Arial"/>
              </w:rPr>
              <w:t xml:space="preserve"> authorized to disclose protected health information</w:t>
            </w:r>
            <w:r w:rsidR="00BA3D03">
              <w:rPr>
                <w:rFonts w:ascii="Arial" w:hAnsi="Arial" w:cs="Arial"/>
              </w:rPr>
              <w:t xml:space="preserve"> (45 CFR 164.508 (c) (1) (ii)</w:t>
            </w:r>
            <w:r w:rsidR="00AB6195">
              <w:rPr>
                <w:rFonts w:ascii="Arial" w:hAnsi="Arial" w:cs="Arial"/>
              </w:rPr>
              <w:t>; 42 CFR Part 2, 2.31(a)</w:t>
            </w:r>
            <w:r w:rsidR="00BA3D03">
              <w:rPr>
                <w:rFonts w:ascii="Arial" w:hAnsi="Arial" w:cs="Arial"/>
              </w:rPr>
              <w:t>)</w:t>
            </w:r>
            <w:r w:rsidR="00FC0558">
              <w:rPr>
                <w:rFonts w:ascii="Arial" w:hAnsi="Arial" w:cs="Arial"/>
              </w:rPr>
              <w:t>. Record h</w:t>
            </w:r>
            <w:r w:rsidR="00BA3D03">
              <w:rPr>
                <w:rFonts w:ascii="Arial" w:hAnsi="Arial" w:cs="Arial"/>
              </w:rPr>
              <w:t xml:space="preserve">older name needs to be </w:t>
            </w:r>
            <w:r w:rsidR="008D6295">
              <w:rPr>
                <w:rFonts w:ascii="Arial" w:hAnsi="Arial" w:cs="Arial"/>
              </w:rPr>
              <w:t xml:space="preserve">a </w:t>
            </w:r>
            <w:r w:rsidR="00BA3D03">
              <w:rPr>
                <w:rFonts w:ascii="Arial" w:hAnsi="Arial" w:cs="Arial"/>
              </w:rPr>
              <w:t>specific person(s)</w:t>
            </w:r>
            <w:r w:rsidRPr="00253846">
              <w:rPr>
                <w:rFonts w:ascii="Arial" w:hAnsi="Arial" w:cs="Arial"/>
              </w:rPr>
              <w:t xml:space="preserve">. A general designation of class </w:t>
            </w:r>
            <w:r w:rsidR="009B611A">
              <w:rPr>
                <w:rFonts w:ascii="Arial" w:hAnsi="Arial" w:cs="Arial"/>
              </w:rPr>
              <w:t xml:space="preserve">or categories </w:t>
            </w:r>
            <w:r w:rsidRPr="00253846">
              <w:rPr>
                <w:rFonts w:ascii="Arial" w:hAnsi="Arial" w:cs="Arial"/>
              </w:rPr>
              <w:t>of persons may include: potential employers, landlords, residential treatment providers</w:t>
            </w:r>
            <w:r w:rsidR="009B611A">
              <w:rPr>
                <w:rFonts w:ascii="Arial" w:hAnsi="Arial" w:cs="Arial"/>
              </w:rPr>
              <w:t>.</w:t>
            </w:r>
            <w:r w:rsidRPr="00253846">
              <w:rPr>
                <w:rFonts w:ascii="Arial" w:hAnsi="Arial" w:cs="Arial"/>
              </w:rPr>
              <w:t xml:space="preserve"> </w:t>
            </w:r>
          </w:p>
          <w:p w:rsidR="005707B6" w:rsidRPr="00253846" w:rsidRDefault="005707B6" w:rsidP="005707B6">
            <w:pPr>
              <w:pStyle w:val="NormalWeb"/>
              <w:numPr>
                <w:ilvl w:val="0"/>
                <w:numId w:val="4"/>
              </w:numPr>
              <w:shd w:val="clear" w:color="auto" w:fill="FFFFFF"/>
              <w:spacing w:after="0" w:line="0" w:lineRule="atLeast"/>
              <w:rPr>
                <w:rFonts w:ascii="Arial" w:hAnsi="Arial" w:cs="Arial"/>
              </w:rPr>
            </w:pPr>
            <w:r w:rsidRPr="00253846">
              <w:rPr>
                <w:rFonts w:ascii="Arial" w:hAnsi="Arial" w:cs="Arial"/>
              </w:rPr>
              <w:t>Record holder name needs to be specific for an individual</w:t>
            </w:r>
            <w:r w:rsidR="00A26652">
              <w:rPr>
                <w:rFonts w:ascii="Arial" w:hAnsi="Arial" w:cs="Arial"/>
              </w:rPr>
              <w:t xml:space="preserve"> or program/agency</w:t>
            </w:r>
            <w:r w:rsidRPr="00253846">
              <w:rPr>
                <w:rFonts w:ascii="Arial" w:hAnsi="Arial" w:cs="Arial"/>
              </w:rPr>
              <w:t xml:space="preserve"> and </w:t>
            </w:r>
            <w:r w:rsidR="00A26652">
              <w:rPr>
                <w:rFonts w:ascii="Arial" w:hAnsi="Arial" w:cs="Arial"/>
              </w:rPr>
              <w:t xml:space="preserve">should </w:t>
            </w:r>
            <w:r w:rsidRPr="00253846">
              <w:rPr>
                <w:rFonts w:ascii="Arial" w:hAnsi="Arial" w:cs="Arial"/>
              </w:rPr>
              <w:t>include their name, address, city, state, zip and phone number.</w:t>
            </w:r>
          </w:p>
          <w:p w:rsidR="009B71FF" w:rsidRPr="00253846" w:rsidRDefault="009B71FF" w:rsidP="005707B6">
            <w:pPr>
              <w:pStyle w:val="NormalWeb"/>
              <w:numPr>
                <w:ilvl w:val="0"/>
                <w:numId w:val="4"/>
              </w:numPr>
              <w:shd w:val="clear" w:color="auto" w:fill="FFFFFF"/>
              <w:spacing w:after="0" w:line="0" w:lineRule="atLeast"/>
              <w:rPr>
                <w:rFonts w:ascii="Arial" w:hAnsi="Arial" w:cs="Arial"/>
              </w:rPr>
            </w:pPr>
            <w:r w:rsidRPr="00253846">
              <w:rPr>
                <w:rFonts w:ascii="Arial" w:hAnsi="Arial" w:cs="Arial"/>
              </w:rPr>
              <w:t xml:space="preserve">Designated </w:t>
            </w:r>
            <w:r w:rsidR="005707B6" w:rsidRPr="00253846">
              <w:rPr>
                <w:rFonts w:ascii="Arial" w:hAnsi="Arial" w:cs="Arial"/>
              </w:rPr>
              <w:t>class</w:t>
            </w:r>
            <w:r w:rsidRPr="00253846">
              <w:rPr>
                <w:rFonts w:ascii="Arial" w:hAnsi="Arial" w:cs="Arial"/>
              </w:rPr>
              <w:t>es</w:t>
            </w:r>
            <w:r w:rsidR="005707B6" w:rsidRPr="00253846">
              <w:rPr>
                <w:rFonts w:ascii="Arial" w:hAnsi="Arial" w:cs="Arial"/>
              </w:rPr>
              <w:t xml:space="preserve"> of persons</w:t>
            </w:r>
            <w:r w:rsidRPr="00253846">
              <w:rPr>
                <w:rFonts w:ascii="Arial" w:hAnsi="Arial" w:cs="Arial"/>
              </w:rPr>
              <w:t xml:space="preserve"> such as potential employers, landlords, </w:t>
            </w:r>
            <w:r w:rsidR="008D6295" w:rsidRPr="00253846">
              <w:rPr>
                <w:rFonts w:ascii="Arial" w:hAnsi="Arial" w:cs="Arial"/>
              </w:rPr>
              <w:t>and residential</w:t>
            </w:r>
            <w:r w:rsidRPr="00253846">
              <w:rPr>
                <w:rFonts w:ascii="Arial" w:hAnsi="Arial" w:cs="Arial"/>
              </w:rPr>
              <w:t xml:space="preserve"> treatment providers can be listed on the first line without an address, city, state, zip and phone number.</w:t>
            </w:r>
          </w:p>
          <w:p w:rsidR="009B71FF" w:rsidRPr="00253846" w:rsidRDefault="009B71FF" w:rsidP="005707B6">
            <w:pPr>
              <w:pStyle w:val="NormalWeb"/>
              <w:numPr>
                <w:ilvl w:val="0"/>
                <w:numId w:val="4"/>
              </w:numPr>
              <w:shd w:val="clear" w:color="auto" w:fill="FFFFFF"/>
              <w:spacing w:after="0" w:line="0" w:lineRule="atLeast"/>
              <w:rPr>
                <w:rFonts w:ascii="Arial" w:hAnsi="Arial" w:cs="Arial"/>
              </w:rPr>
            </w:pPr>
            <w:r w:rsidRPr="00253846">
              <w:rPr>
                <w:rFonts w:ascii="Arial" w:hAnsi="Arial" w:cs="Arial"/>
              </w:rPr>
              <w:t xml:space="preserve">This section can reference “YCHHS” or a specific </w:t>
            </w:r>
            <w:r w:rsidR="006329AD">
              <w:rPr>
                <w:rFonts w:ascii="Arial" w:hAnsi="Arial" w:cs="Arial"/>
              </w:rPr>
              <w:t xml:space="preserve">YCHHS </w:t>
            </w:r>
            <w:r w:rsidRPr="00253846">
              <w:rPr>
                <w:rFonts w:ascii="Arial" w:hAnsi="Arial" w:cs="Arial"/>
              </w:rPr>
              <w:t>program</w:t>
            </w:r>
            <w:r w:rsidR="008D6295">
              <w:rPr>
                <w:rFonts w:ascii="Arial" w:hAnsi="Arial" w:cs="Arial"/>
              </w:rPr>
              <w:t>.</w:t>
            </w:r>
          </w:p>
          <w:p w:rsidR="00135654" w:rsidRPr="00253846" w:rsidRDefault="005707B6" w:rsidP="00135654">
            <w:pPr>
              <w:pStyle w:val="NormalWeb"/>
              <w:shd w:val="clear" w:color="auto" w:fill="FFFFFF"/>
              <w:spacing w:after="0" w:line="0" w:lineRule="atLeast"/>
              <w:ind w:left="360"/>
              <w:rPr>
                <w:rFonts w:ascii="Arial" w:hAnsi="Arial" w:cs="Arial"/>
              </w:rPr>
            </w:pPr>
            <w:r w:rsidRPr="00253846">
              <w:rPr>
                <w:rFonts w:ascii="Arial" w:hAnsi="Arial" w:cs="Arial"/>
              </w:rPr>
              <w:t xml:space="preserve">Assist the client to fully understand what it means to release </w:t>
            </w:r>
            <w:r w:rsidR="008D6295">
              <w:rPr>
                <w:rFonts w:ascii="Arial" w:hAnsi="Arial" w:cs="Arial"/>
              </w:rPr>
              <w:t xml:space="preserve">records </w:t>
            </w:r>
            <w:r w:rsidRPr="00253846">
              <w:rPr>
                <w:rFonts w:ascii="Arial" w:hAnsi="Arial" w:cs="Arial"/>
              </w:rPr>
              <w:t xml:space="preserve">from all of YCHHS. The client should have the option to limit the release of information </w:t>
            </w:r>
            <w:r w:rsidR="00135654" w:rsidRPr="00253846">
              <w:rPr>
                <w:rFonts w:ascii="Arial" w:hAnsi="Arial" w:cs="Arial"/>
              </w:rPr>
              <w:t>from one or more YCHHS programs.</w:t>
            </w:r>
          </w:p>
          <w:p w:rsidR="005707B6" w:rsidRPr="00253846" w:rsidRDefault="009B71FF" w:rsidP="00135654">
            <w:pPr>
              <w:pStyle w:val="NormalWeb"/>
              <w:numPr>
                <w:ilvl w:val="0"/>
                <w:numId w:val="4"/>
              </w:numPr>
              <w:shd w:val="clear" w:color="auto" w:fill="FFFFFF"/>
              <w:spacing w:after="0" w:line="0" w:lineRule="atLeast"/>
              <w:rPr>
                <w:rFonts w:ascii="Arial" w:hAnsi="Arial" w:cs="Arial"/>
              </w:rPr>
            </w:pPr>
            <w:r w:rsidRPr="00253846">
              <w:rPr>
                <w:rFonts w:ascii="Arial" w:hAnsi="Arial" w:cs="Arial"/>
              </w:rPr>
              <w:t>Include both pages when sending/faxing a signed authorization to a record holder.</w:t>
            </w:r>
            <w:r w:rsidR="004E64E4">
              <w:rPr>
                <w:rFonts w:ascii="Arial" w:hAnsi="Arial" w:cs="Arial"/>
              </w:rPr>
              <w:t xml:space="preserve"> </w:t>
            </w:r>
            <w:r w:rsidRPr="00253846">
              <w:rPr>
                <w:rFonts w:ascii="Arial" w:hAnsi="Arial" w:cs="Arial"/>
              </w:rPr>
              <w:t>State law requires that the client receive some of the information on the second page.</w:t>
            </w:r>
            <w:r w:rsidR="004E64E4">
              <w:rPr>
                <w:rFonts w:ascii="Arial" w:hAnsi="Arial" w:cs="Arial"/>
              </w:rPr>
              <w:t xml:space="preserve"> </w:t>
            </w:r>
            <w:r w:rsidRPr="00253846">
              <w:rPr>
                <w:rFonts w:ascii="Arial" w:hAnsi="Arial" w:cs="Arial"/>
              </w:rPr>
              <w:t>The record holder will want to know that the client has received that information.</w:t>
            </w:r>
          </w:p>
        </w:tc>
      </w:tr>
      <w:tr w:rsidR="005707B6" w:rsidRPr="00253846" w:rsidTr="00253846">
        <w:tc>
          <w:tcPr>
            <w:tcW w:w="1638" w:type="dxa"/>
          </w:tcPr>
          <w:p w:rsidR="005707B6" w:rsidRPr="00253846" w:rsidRDefault="00135654">
            <w:pPr>
              <w:pStyle w:val="Default"/>
              <w:rPr>
                <w:b/>
                <w:color w:val="auto"/>
              </w:rPr>
            </w:pPr>
            <w:r w:rsidRPr="00253846">
              <w:rPr>
                <w:b/>
                <w:color w:val="auto"/>
              </w:rPr>
              <w:t xml:space="preserve">Specific </w:t>
            </w:r>
          </w:p>
          <w:p w:rsidR="00135654" w:rsidRPr="00253846" w:rsidRDefault="00135654">
            <w:pPr>
              <w:pStyle w:val="Default"/>
              <w:rPr>
                <w:b/>
                <w:color w:val="auto"/>
              </w:rPr>
            </w:pPr>
            <w:r w:rsidRPr="00253846">
              <w:rPr>
                <w:b/>
                <w:color w:val="auto"/>
              </w:rPr>
              <w:t>Information</w:t>
            </w:r>
          </w:p>
          <w:p w:rsidR="00135654" w:rsidRPr="00253846" w:rsidRDefault="00135654">
            <w:pPr>
              <w:pStyle w:val="Default"/>
              <w:rPr>
                <w:b/>
                <w:color w:val="auto"/>
              </w:rPr>
            </w:pPr>
            <w:r w:rsidRPr="00253846">
              <w:rPr>
                <w:b/>
                <w:color w:val="auto"/>
              </w:rPr>
              <w:t>to disclose:</w:t>
            </w:r>
          </w:p>
        </w:tc>
        <w:tc>
          <w:tcPr>
            <w:tcW w:w="9378" w:type="dxa"/>
          </w:tcPr>
          <w:p w:rsidR="005707B6" w:rsidRPr="00253846" w:rsidRDefault="00135654" w:rsidP="00135654">
            <w:pPr>
              <w:pStyle w:val="Default"/>
              <w:numPr>
                <w:ilvl w:val="0"/>
                <w:numId w:val="4"/>
              </w:numPr>
              <w:rPr>
                <w:rFonts w:eastAsia="Calibri"/>
                <w:color w:val="auto"/>
              </w:rPr>
            </w:pPr>
            <w:r w:rsidRPr="00253846">
              <w:rPr>
                <w:rFonts w:eastAsia="Calibri"/>
                <w:color w:val="auto"/>
              </w:rPr>
              <w:t>Some examples of specific information are assessments, treatment plans, results of urinalysis, psychological report, financial information, and case plans.</w:t>
            </w:r>
          </w:p>
          <w:p w:rsidR="00135654" w:rsidRPr="00253846" w:rsidRDefault="00135654" w:rsidP="00135654">
            <w:pPr>
              <w:pStyle w:val="Default"/>
              <w:numPr>
                <w:ilvl w:val="0"/>
                <w:numId w:val="4"/>
              </w:numPr>
              <w:rPr>
                <w:b/>
                <w:color w:val="auto"/>
              </w:rPr>
            </w:pPr>
            <w:r w:rsidRPr="00253846">
              <w:rPr>
                <w:rFonts w:eastAsia="Calibri"/>
                <w:color w:val="auto"/>
              </w:rPr>
              <w:t>Do not indicate “entire record” unless it is necessary to accomplish the purpose. (see section “B” below for definition of “Purpose”.)</w:t>
            </w:r>
          </w:p>
        </w:tc>
      </w:tr>
      <w:tr w:rsidR="00135654" w:rsidRPr="00253846" w:rsidTr="00253846">
        <w:tc>
          <w:tcPr>
            <w:tcW w:w="1638" w:type="dxa"/>
          </w:tcPr>
          <w:p w:rsidR="00135654" w:rsidRPr="00253846" w:rsidRDefault="00135654">
            <w:pPr>
              <w:pStyle w:val="Default"/>
              <w:rPr>
                <w:b/>
                <w:color w:val="auto"/>
              </w:rPr>
            </w:pPr>
            <w:r w:rsidRPr="00253846">
              <w:rPr>
                <w:b/>
                <w:color w:val="auto"/>
              </w:rPr>
              <w:t>Mutual exchange; yes/no:</w:t>
            </w:r>
          </w:p>
        </w:tc>
        <w:tc>
          <w:tcPr>
            <w:tcW w:w="9378" w:type="dxa"/>
          </w:tcPr>
          <w:p w:rsidR="00135654" w:rsidRPr="008D6295" w:rsidRDefault="00135654" w:rsidP="00135654">
            <w:pPr>
              <w:pStyle w:val="Default"/>
              <w:numPr>
                <w:ilvl w:val="0"/>
                <w:numId w:val="4"/>
              </w:numPr>
              <w:rPr>
                <w:rFonts w:eastAsia="Calibri"/>
                <w:color w:val="auto"/>
              </w:rPr>
            </w:pPr>
            <w:r w:rsidRPr="008D6295">
              <w:rPr>
                <w:rFonts w:eastAsia="Calibri"/>
                <w:color w:val="auto"/>
              </w:rPr>
              <w:t>If the client agrees to Mutual exchange, the exchange needs to stay within the purpose and specific information stated on the form.</w:t>
            </w:r>
          </w:p>
          <w:p w:rsidR="00135654" w:rsidRPr="008D6295" w:rsidRDefault="00135654" w:rsidP="00135654">
            <w:pPr>
              <w:pStyle w:val="Default"/>
              <w:numPr>
                <w:ilvl w:val="0"/>
                <w:numId w:val="4"/>
              </w:numPr>
              <w:rPr>
                <w:rFonts w:eastAsia="Calibri"/>
                <w:color w:val="auto"/>
              </w:rPr>
            </w:pPr>
            <w:r w:rsidRPr="008D6295">
              <w:rPr>
                <w:rFonts w:eastAsia="Calibri"/>
                <w:color w:val="auto"/>
              </w:rPr>
              <w:t>Mutual exchange creates the opportunity to ask clarifying questions about the specific information identified on the form.</w:t>
            </w:r>
          </w:p>
          <w:p w:rsidR="00135654" w:rsidRPr="008D6295" w:rsidRDefault="00135654" w:rsidP="00135654">
            <w:pPr>
              <w:pStyle w:val="Default"/>
              <w:numPr>
                <w:ilvl w:val="0"/>
                <w:numId w:val="4"/>
              </w:numPr>
              <w:rPr>
                <w:rFonts w:eastAsia="Calibri"/>
                <w:color w:val="auto"/>
              </w:rPr>
            </w:pPr>
            <w:r w:rsidRPr="008D6295">
              <w:rPr>
                <w:rFonts w:eastAsia="Calibri"/>
                <w:color w:val="auto"/>
              </w:rPr>
              <w:t>Mutual exchange does not open all records for discussion between the record holder and the record requester.</w:t>
            </w:r>
          </w:p>
          <w:p w:rsidR="00135654" w:rsidRPr="00253846" w:rsidRDefault="00135654" w:rsidP="00135654">
            <w:pPr>
              <w:pStyle w:val="Default"/>
              <w:numPr>
                <w:ilvl w:val="0"/>
                <w:numId w:val="4"/>
              </w:numPr>
              <w:rPr>
                <w:rFonts w:eastAsia="Calibri"/>
                <w:color w:val="auto"/>
              </w:rPr>
            </w:pPr>
            <w:r w:rsidRPr="008D6295">
              <w:rPr>
                <w:rFonts w:eastAsia="Calibri"/>
                <w:color w:val="auto"/>
              </w:rPr>
              <w:t>Only if Mutual exchange is acknowledged with a “yes” can information flow both ways.</w:t>
            </w:r>
          </w:p>
        </w:tc>
      </w:tr>
      <w:tr w:rsidR="00135654" w:rsidRPr="00253846" w:rsidTr="00135654">
        <w:tc>
          <w:tcPr>
            <w:tcW w:w="11122" w:type="dxa"/>
            <w:gridSpan w:val="2"/>
          </w:tcPr>
          <w:p w:rsidR="00135654" w:rsidRPr="00253846" w:rsidRDefault="00135654">
            <w:pPr>
              <w:pStyle w:val="Default"/>
              <w:rPr>
                <w:color w:val="auto"/>
              </w:rPr>
            </w:pPr>
            <w:r w:rsidRPr="00253846">
              <w:rPr>
                <w:b/>
                <w:color w:val="auto"/>
              </w:rPr>
              <w:t>STATEMENT</w:t>
            </w:r>
          </w:p>
        </w:tc>
      </w:tr>
      <w:tr w:rsidR="00135654" w:rsidRPr="00253846" w:rsidTr="00135654">
        <w:tc>
          <w:tcPr>
            <w:tcW w:w="11122" w:type="dxa"/>
            <w:gridSpan w:val="2"/>
          </w:tcPr>
          <w:p w:rsidR="00135654" w:rsidRPr="00253846" w:rsidRDefault="00135654">
            <w:pPr>
              <w:pStyle w:val="Default"/>
              <w:rPr>
                <w:b/>
                <w:color w:val="auto"/>
              </w:rPr>
            </w:pPr>
            <w:r w:rsidRPr="00253846">
              <w:rPr>
                <w:b/>
                <w:color w:val="auto"/>
              </w:rPr>
              <w:t>If the information contains any of the types of records or information listed below, additional laws relating to use and disclosure may apply etc.</w:t>
            </w:r>
          </w:p>
          <w:p w:rsidR="00135654" w:rsidRPr="00253846" w:rsidRDefault="00135654" w:rsidP="00135654">
            <w:pPr>
              <w:pStyle w:val="Default"/>
              <w:numPr>
                <w:ilvl w:val="0"/>
                <w:numId w:val="6"/>
              </w:numPr>
              <w:rPr>
                <w:color w:val="auto"/>
              </w:rPr>
            </w:pPr>
            <w:r w:rsidRPr="00253846">
              <w:rPr>
                <w:color w:val="auto"/>
              </w:rPr>
              <w:t>Explain to the client that there are very strict state and/or federal confidentiality laws to protect these sensitive records.</w:t>
            </w:r>
          </w:p>
          <w:p w:rsidR="00135654" w:rsidRPr="00253846" w:rsidRDefault="00135654" w:rsidP="00135654">
            <w:pPr>
              <w:pStyle w:val="Default"/>
              <w:numPr>
                <w:ilvl w:val="0"/>
                <w:numId w:val="6"/>
              </w:numPr>
              <w:rPr>
                <w:color w:val="auto"/>
              </w:rPr>
            </w:pPr>
            <w:r w:rsidRPr="00253846">
              <w:rPr>
                <w:color w:val="auto"/>
              </w:rPr>
              <w:t>Even if the “Specific information to be disclosed” section notes the sensitive records being requested, the lines in this statement must be initialed.</w:t>
            </w:r>
          </w:p>
        </w:tc>
      </w:tr>
    </w:tbl>
    <w:p w:rsidR="00506EE3" w:rsidRDefault="00506EE3">
      <w:pPr>
        <w:pStyle w:val="Default"/>
        <w:rPr>
          <w:color w:val="auto"/>
        </w:rPr>
      </w:pPr>
    </w:p>
    <w:tbl>
      <w:tblPr>
        <w:tblStyle w:val="TableGrid"/>
        <w:tblW w:w="0" w:type="auto"/>
        <w:tblLook w:val="04A0" w:firstRow="1" w:lastRow="0" w:firstColumn="1" w:lastColumn="0" w:noHBand="0" w:noVBand="1"/>
      </w:tblPr>
      <w:tblGrid>
        <w:gridCol w:w="2876"/>
        <w:gridCol w:w="8140"/>
      </w:tblGrid>
      <w:tr w:rsidR="00135654" w:rsidTr="00730AA4">
        <w:tc>
          <w:tcPr>
            <w:tcW w:w="11016" w:type="dxa"/>
            <w:gridSpan w:val="2"/>
            <w:shd w:val="clear" w:color="auto" w:fill="000000" w:themeFill="text1"/>
          </w:tcPr>
          <w:p w:rsidR="00135654" w:rsidRPr="00253846" w:rsidRDefault="00135654" w:rsidP="00A714AD">
            <w:pPr>
              <w:pStyle w:val="Default"/>
              <w:rPr>
                <w:color w:val="auto"/>
              </w:rPr>
            </w:pPr>
            <w:r w:rsidRPr="00253846">
              <w:rPr>
                <w:b/>
                <w:color w:val="FFFFFF" w:themeColor="background1"/>
              </w:rPr>
              <w:t>S</w:t>
            </w:r>
            <w:r w:rsidR="00A714AD">
              <w:rPr>
                <w:b/>
                <w:color w:val="FFFFFF" w:themeColor="background1"/>
              </w:rPr>
              <w:t>ection</w:t>
            </w:r>
            <w:r w:rsidRPr="00253846">
              <w:rPr>
                <w:b/>
                <w:color w:val="FFFFFF" w:themeColor="background1"/>
              </w:rPr>
              <w:t xml:space="preserve"> B</w:t>
            </w:r>
          </w:p>
        </w:tc>
      </w:tr>
      <w:tr w:rsidR="00135654" w:rsidTr="00730AA4">
        <w:tc>
          <w:tcPr>
            <w:tcW w:w="2876" w:type="dxa"/>
          </w:tcPr>
          <w:p w:rsidR="00135654" w:rsidRPr="00253846" w:rsidRDefault="00135654">
            <w:pPr>
              <w:pStyle w:val="Default"/>
              <w:rPr>
                <w:b/>
                <w:color w:val="auto"/>
              </w:rPr>
            </w:pPr>
            <w:r w:rsidRPr="00253846">
              <w:rPr>
                <w:b/>
                <w:color w:val="auto"/>
              </w:rPr>
              <w:t>Release to:</w:t>
            </w:r>
          </w:p>
          <w:p w:rsidR="00135654" w:rsidRPr="00253846" w:rsidRDefault="00135654">
            <w:pPr>
              <w:pStyle w:val="Default"/>
              <w:rPr>
                <w:color w:val="auto"/>
              </w:rPr>
            </w:pPr>
            <w:r w:rsidRPr="00253846">
              <w:rPr>
                <w:b/>
                <w:color w:val="auto"/>
              </w:rPr>
              <w:t>(address required if mailed) If releasing to team members, list members.</w:t>
            </w:r>
          </w:p>
        </w:tc>
        <w:tc>
          <w:tcPr>
            <w:tcW w:w="8140" w:type="dxa"/>
          </w:tcPr>
          <w:p w:rsidR="009B611A" w:rsidRPr="00253846" w:rsidRDefault="009B611A" w:rsidP="009B611A">
            <w:pPr>
              <w:pStyle w:val="NormalWeb"/>
              <w:shd w:val="clear" w:color="auto" w:fill="FFFFFF"/>
              <w:spacing w:after="0" w:line="0" w:lineRule="atLeast"/>
              <w:rPr>
                <w:rFonts w:ascii="Arial" w:hAnsi="Arial" w:cs="Arial"/>
              </w:rPr>
            </w:pPr>
            <w:r w:rsidRPr="00253846">
              <w:rPr>
                <w:rFonts w:ascii="Arial" w:hAnsi="Arial" w:cs="Arial"/>
              </w:rPr>
              <w:t xml:space="preserve">This section is meant </w:t>
            </w:r>
            <w:r>
              <w:rPr>
                <w:rFonts w:ascii="Arial" w:hAnsi="Arial" w:cs="Arial"/>
              </w:rPr>
              <w:t>to identify a person(s)</w:t>
            </w:r>
            <w:r w:rsidRPr="00253846">
              <w:rPr>
                <w:rFonts w:ascii="Arial" w:hAnsi="Arial" w:cs="Arial"/>
              </w:rPr>
              <w:t xml:space="preserve"> or a general designation of class </w:t>
            </w:r>
            <w:r>
              <w:rPr>
                <w:rFonts w:ascii="Arial" w:hAnsi="Arial" w:cs="Arial"/>
              </w:rPr>
              <w:t xml:space="preserve">or categories </w:t>
            </w:r>
            <w:r w:rsidRPr="00253846">
              <w:rPr>
                <w:rFonts w:ascii="Arial" w:hAnsi="Arial" w:cs="Arial"/>
              </w:rPr>
              <w:t>of persons</w:t>
            </w:r>
            <w:r>
              <w:rPr>
                <w:rFonts w:ascii="Arial" w:hAnsi="Arial" w:cs="Arial"/>
              </w:rPr>
              <w:t xml:space="preserve"> </w:t>
            </w:r>
            <w:r w:rsidR="00D96FB0">
              <w:rPr>
                <w:rFonts w:ascii="Arial" w:hAnsi="Arial" w:cs="Arial"/>
              </w:rPr>
              <w:t xml:space="preserve">to whom the authorized protected health information is to be disclosed </w:t>
            </w:r>
            <w:r>
              <w:rPr>
                <w:rFonts w:ascii="Arial" w:hAnsi="Arial" w:cs="Arial"/>
              </w:rPr>
              <w:t>(45 CFR 164.508 (c) (1) (i</w:t>
            </w:r>
            <w:r w:rsidR="00427A72">
              <w:rPr>
                <w:rFonts w:ascii="Arial" w:hAnsi="Arial" w:cs="Arial"/>
              </w:rPr>
              <w:t>i</w:t>
            </w:r>
            <w:r>
              <w:rPr>
                <w:rFonts w:ascii="Arial" w:hAnsi="Arial" w:cs="Arial"/>
              </w:rPr>
              <w:t>i)).</w:t>
            </w:r>
            <w:r w:rsidRPr="00253846">
              <w:rPr>
                <w:rFonts w:ascii="Arial" w:hAnsi="Arial" w:cs="Arial"/>
              </w:rPr>
              <w:t xml:space="preserve"> A general designation of class </w:t>
            </w:r>
            <w:r>
              <w:rPr>
                <w:rFonts w:ascii="Arial" w:hAnsi="Arial" w:cs="Arial"/>
              </w:rPr>
              <w:t xml:space="preserve">or categories </w:t>
            </w:r>
            <w:r w:rsidRPr="00253846">
              <w:rPr>
                <w:rFonts w:ascii="Arial" w:hAnsi="Arial" w:cs="Arial"/>
              </w:rPr>
              <w:t>of persons may include: potential employers, landlords, residential treatment providers</w:t>
            </w:r>
            <w:r>
              <w:rPr>
                <w:rFonts w:ascii="Arial" w:hAnsi="Arial" w:cs="Arial"/>
              </w:rPr>
              <w:t>.</w:t>
            </w:r>
            <w:r w:rsidR="004E64E4">
              <w:rPr>
                <w:rFonts w:ascii="Arial" w:hAnsi="Arial" w:cs="Arial"/>
              </w:rPr>
              <w:t xml:space="preserve"> </w:t>
            </w:r>
            <w:r w:rsidR="004B1CFE" w:rsidRPr="00427A72">
              <w:rPr>
                <w:rFonts w:ascii="Arial" w:hAnsi="Arial" w:cs="Arial"/>
                <w:u w:val="single"/>
              </w:rPr>
              <w:t>When possible, a specific person(s) name should be used.</w:t>
            </w:r>
            <w:r w:rsidRPr="00253846">
              <w:rPr>
                <w:rFonts w:ascii="Arial" w:hAnsi="Arial" w:cs="Arial"/>
              </w:rPr>
              <w:t xml:space="preserve"> </w:t>
            </w:r>
          </w:p>
          <w:p w:rsidR="002F7D78" w:rsidRDefault="002F7D78" w:rsidP="00135654">
            <w:pPr>
              <w:pStyle w:val="Default"/>
              <w:numPr>
                <w:ilvl w:val="0"/>
                <w:numId w:val="8"/>
              </w:numPr>
              <w:rPr>
                <w:color w:val="auto"/>
              </w:rPr>
            </w:pPr>
            <w:r>
              <w:rPr>
                <w:color w:val="auto"/>
              </w:rPr>
              <w:lastRenderedPageBreak/>
              <w:t xml:space="preserve">42 CFR Part 2 allows </w:t>
            </w:r>
            <w:r w:rsidR="00192CDA">
              <w:rPr>
                <w:color w:val="auto"/>
              </w:rPr>
              <w:t xml:space="preserve">the </w:t>
            </w:r>
            <w:r>
              <w:rPr>
                <w:color w:val="auto"/>
              </w:rPr>
              <w:t xml:space="preserve">listing </w:t>
            </w:r>
            <w:r w:rsidR="00192CDA">
              <w:rPr>
                <w:color w:val="auto"/>
              </w:rPr>
              <w:t xml:space="preserve">of </w:t>
            </w:r>
            <w:r>
              <w:rPr>
                <w:color w:val="auto"/>
              </w:rPr>
              <w:t xml:space="preserve">multiple person(s) or agencies “within the criminal justice system with the duty to monitor patient’s progress (e.g., prosecuting attorney who is withholding charges against the patient, a court granting pretrial or post-trial release, probation or parole officers responsible for supervision….”(42 CFR Part 2, 2.35) </w:t>
            </w:r>
          </w:p>
          <w:p w:rsidR="00135654" w:rsidRPr="00253846" w:rsidRDefault="00135654" w:rsidP="00135654">
            <w:pPr>
              <w:pStyle w:val="Default"/>
              <w:numPr>
                <w:ilvl w:val="0"/>
                <w:numId w:val="8"/>
              </w:numPr>
              <w:rPr>
                <w:color w:val="auto"/>
              </w:rPr>
            </w:pPr>
            <w:r w:rsidRPr="00253846">
              <w:rPr>
                <w:color w:val="auto"/>
              </w:rPr>
              <w:t>The client must be given the option to complete a separate form for each partner</w:t>
            </w:r>
            <w:r w:rsidR="004B1CFE">
              <w:rPr>
                <w:color w:val="auto"/>
              </w:rPr>
              <w:t>, agency or persons,</w:t>
            </w:r>
            <w:r w:rsidRPr="00253846">
              <w:rPr>
                <w:color w:val="auto"/>
              </w:rPr>
              <w:t xml:space="preserve"> or to refuse disclosure to a particular partner</w:t>
            </w:r>
            <w:r w:rsidR="004B1CFE">
              <w:rPr>
                <w:color w:val="auto"/>
              </w:rPr>
              <w:t>, agency or persons</w:t>
            </w:r>
            <w:r w:rsidRPr="00253846">
              <w:rPr>
                <w:color w:val="auto"/>
              </w:rPr>
              <w:t xml:space="preserve"> on the list.</w:t>
            </w:r>
          </w:p>
          <w:p w:rsidR="00135654" w:rsidRPr="00253846" w:rsidRDefault="00135654" w:rsidP="00135654">
            <w:pPr>
              <w:pStyle w:val="Default"/>
              <w:numPr>
                <w:ilvl w:val="0"/>
                <w:numId w:val="8"/>
              </w:numPr>
              <w:rPr>
                <w:color w:val="auto"/>
              </w:rPr>
            </w:pPr>
            <w:r w:rsidRPr="00253846">
              <w:rPr>
                <w:color w:val="auto"/>
              </w:rPr>
              <w:t>Record holders may have their own procedures on mailing or faxing requested records.</w:t>
            </w:r>
            <w:r w:rsidR="004E64E4">
              <w:rPr>
                <w:color w:val="auto"/>
              </w:rPr>
              <w:t xml:space="preserve"> </w:t>
            </w:r>
            <w:r w:rsidRPr="00253846">
              <w:rPr>
                <w:color w:val="auto"/>
              </w:rPr>
              <w:t>When requesting that the records be faxed, also include, whenever possible, the address for the records to be mailed.</w:t>
            </w:r>
          </w:p>
          <w:p w:rsidR="00135654" w:rsidRPr="00253846" w:rsidRDefault="00135654" w:rsidP="00135654">
            <w:pPr>
              <w:pStyle w:val="Default"/>
              <w:numPr>
                <w:ilvl w:val="0"/>
                <w:numId w:val="8"/>
              </w:numPr>
              <w:rPr>
                <w:color w:val="auto"/>
              </w:rPr>
            </w:pPr>
            <w:r w:rsidRPr="00253846">
              <w:rPr>
                <w:color w:val="auto"/>
              </w:rPr>
              <w:t>This section can reference a specific program within YCHHS.</w:t>
            </w:r>
            <w:r w:rsidR="004E64E4">
              <w:rPr>
                <w:color w:val="auto"/>
              </w:rPr>
              <w:t xml:space="preserve"> </w:t>
            </w:r>
            <w:r w:rsidRPr="00253846">
              <w:rPr>
                <w:color w:val="auto"/>
              </w:rPr>
              <w:t>Assist the client to fully understand what it means to release to all of YCHHS.</w:t>
            </w:r>
            <w:r w:rsidR="004E64E4">
              <w:rPr>
                <w:color w:val="auto"/>
              </w:rPr>
              <w:t xml:space="preserve"> </w:t>
            </w:r>
            <w:r w:rsidRPr="00253846">
              <w:rPr>
                <w:color w:val="auto"/>
              </w:rPr>
              <w:t>The client should have the option to limit the release of information to one or more YCHHS programs.</w:t>
            </w:r>
          </w:p>
        </w:tc>
      </w:tr>
      <w:tr w:rsidR="00730AA4" w:rsidTr="00730AA4">
        <w:tc>
          <w:tcPr>
            <w:tcW w:w="2876" w:type="dxa"/>
          </w:tcPr>
          <w:p w:rsidR="00730AA4" w:rsidRPr="00253846" w:rsidRDefault="00730AA4">
            <w:pPr>
              <w:pStyle w:val="Default"/>
              <w:rPr>
                <w:b/>
                <w:color w:val="auto"/>
              </w:rPr>
            </w:pPr>
            <w:r w:rsidRPr="00A714AD">
              <w:rPr>
                <w:b/>
                <w:color w:val="auto"/>
              </w:rPr>
              <w:lastRenderedPageBreak/>
              <w:t>Purpose</w:t>
            </w:r>
          </w:p>
        </w:tc>
        <w:tc>
          <w:tcPr>
            <w:tcW w:w="8140" w:type="dxa"/>
          </w:tcPr>
          <w:p w:rsidR="00730AA4" w:rsidRPr="00253846" w:rsidRDefault="00730AA4" w:rsidP="009B611A">
            <w:pPr>
              <w:pStyle w:val="NormalWeb"/>
              <w:shd w:val="clear" w:color="auto" w:fill="FFFFFF"/>
              <w:spacing w:after="0" w:line="0" w:lineRule="atLeast"/>
              <w:rPr>
                <w:rFonts w:ascii="Arial" w:hAnsi="Arial" w:cs="Arial"/>
              </w:rPr>
            </w:pPr>
            <w:r w:rsidRPr="004E64E4">
              <w:rPr>
                <w:rFonts w:ascii="Arial" w:eastAsiaTheme="minorEastAsia" w:hAnsi="Arial" w:cs="Arial"/>
              </w:rPr>
              <w:t>The stated purpose should support the work being done for and with the client.</w:t>
            </w:r>
            <w:r w:rsidR="004E64E4">
              <w:rPr>
                <w:rFonts w:ascii="Arial" w:eastAsiaTheme="minorEastAsia" w:hAnsi="Arial" w:cs="Arial"/>
              </w:rPr>
              <w:t xml:space="preserve"> </w:t>
            </w:r>
            <w:r w:rsidRPr="004E64E4">
              <w:rPr>
                <w:rFonts w:ascii="Arial" w:eastAsiaTheme="minorEastAsia" w:hAnsi="Arial" w:cs="Arial"/>
              </w:rPr>
              <w:t>It is not a generic permission for the use or disclosure for any and all information.</w:t>
            </w:r>
          </w:p>
        </w:tc>
      </w:tr>
      <w:tr w:rsidR="00730AA4" w:rsidTr="00730AA4">
        <w:tc>
          <w:tcPr>
            <w:tcW w:w="2876" w:type="dxa"/>
          </w:tcPr>
          <w:p w:rsidR="00730AA4" w:rsidRPr="00A714AD" w:rsidRDefault="00730AA4">
            <w:pPr>
              <w:pStyle w:val="Default"/>
              <w:rPr>
                <w:b/>
                <w:color w:val="auto"/>
              </w:rPr>
            </w:pPr>
            <w:r w:rsidRPr="00A714AD">
              <w:rPr>
                <w:b/>
                <w:color w:val="auto"/>
              </w:rPr>
              <w:t>Expiration date or event*</w:t>
            </w:r>
          </w:p>
        </w:tc>
        <w:tc>
          <w:tcPr>
            <w:tcW w:w="8140" w:type="dxa"/>
          </w:tcPr>
          <w:p w:rsidR="00730AA4" w:rsidRDefault="00730AA4" w:rsidP="00467D08">
            <w:pPr>
              <w:pStyle w:val="Default"/>
              <w:numPr>
                <w:ilvl w:val="0"/>
                <w:numId w:val="9"/>
              </w:numPr>
              <w:rPr>
                <w:color w:val="auto"/>
              </w:rPr>
            </w:pPr>
            <w:r>
              <w:rPr>
                <w:color w:val="auto"/>
              </w:rPr>
              <w:t>This field must be completed with either an event or a date.</w:t>
            </w:r>
          </w:p>
          <w:p w:rsidR="00730AA4" w:rsidRDefault="00730AA4" w:rsidP="00467D08">
            <w:pPr>
              <w:pStyle w:val="Default"/>
              <w:numPr>
                <w:ilvl w:val="0"/>
                <w:numId w:val="9"/>
              </w:numPr>
              <w:rPr>
                <w:color w:val="auto"/>
              </w:rPr>
            </w:pPr>
            <w:r>
              <w:rPr>
                <w:color w:val="auto"/>
              </w:rPr>
              <w:t>The authorization is valid for one year from the date of signing, unless otherwise clearly stated.</w:t>
            </w:r>
          </w:p>
          <w:p w:rsidR="00730AA4" w:rsidRDefault="00730AA4" w:rsidP="004E64E4">
            <w:pPr>
              <w:pStyle w:val="NormalWeb"/>
              <w:numPr>
                <w:ilvl w:val="0"/>
                <w:numId w:val="9"/>
              </w:numPr>
              <w:shd w:val="clear" w:color="auto" w:fill="FFFFFF"/>
              <w:spacing w:after="0" w:line="0" w:lineRule="atLeast"/>
            </w:pPr>
            <w:r w:rsidRPr="004E64E4">
              <w:rPr>
                <w:rFonts w:ascii="Arial" w:eastAsiaTheme="minorEastAsia" w:hAnsi="Arial" w:cs="Arial"/>
              </w:rPr>
              <w:t>Although using an “event” in this field is allowable, the record holder may not know when or if the event has occurred.</w:t>
            </w:r>
          </w:p>
        </w:tc>
      </w:tr>
    </w:tbl>
    <w:p w:rsidR="00A714AD" w:rsidRDefault="00A714AD">
      <w:pPr>
        <w:pStyle w:val="Default"/>
        <w:rPr>
          <w:color w:val="auto"/>
        </w:rPr>
      </w:pPr>
    </w:p>
    <w:tbl>
      <w:tblPr>
        <w:tblStyle w:val="TableGrid"/>
        <w:tblW w:w="0" w:type="auto"/>
        <w:tblLook w:val="04A0" w:firstRow="1" w:lastRow="0" w:firstColumn="1" w:lastColumn="0" w:noHBand="0" w:noVBand="1"/>
      </w:tblPr>
      <w:tblGrid>
        <w:gridCol w:w="2898"/>
        <w:gridCol w:w="8118"/>
      </w:tblGrid>
      <w:tr w:rsidR="00A714AD" w:rsidTr="00A714AD">
        <w:tc>
          <w:tcPr>
            <w:tcW w:w="11016" w:type="dxa"/>
            <w:gridSpan w:val="2"/>
            <w:shd w:val="clear" w:color="auto" w:fill="000000" w:themeFill="text1"/>
          </w:tcPr>
          <w:p w:rsidR="00A714AD" w:rsidRDefault="00A714AD">
            <w:pPr>
              <w:pStyle w:val="Default"/>
              <w:rPr>
                <w:color w:val="auto"/>
              </w:rPr>
            </w:pPr>
            <w:r w:rsidRPr="00A714AD">
              <w:rPr>
                <w:b/>
                <w:color w:val="FFFFFF" w:themeColor="background1"/>
              </w:rPr>
              <w:t>Section C</w:t>
            </w:r>
          </w:p>
        </w:tc>
      </w:tr>
      <w:tr w:rsidR="00A714AD" w:rsidTr="00A714AD">
        <w:tc>
          <w:tcPr>
            <w:tcW w:w="2898" w:type="dxa"/>
          </w:tcPr>
          <w:p w:rsidR="00A714AD" w:rsidRPr="00A714AD" w:rsidRDefault="00A714AD">
            <w:pPr>
              <w:pStyle w:val="Default"/>
              <w:rPr>
                <w:b/>
                <w:color w:val="auto"/>
              </w:rPr>
            </w:pPr>
            <w:r w:rsidRPr="00A714AD">
              <w:rPr>
                <w:b/>
                <w:color w:val="auto"/>
              </w:rPr>
              <w:t>Full signature OR authorized personal representative:</w:t>
            </w:r>
          </w:p>
        </w:tc>
        <w:tc>
          <w:tcPr>
            <w:tcW w:w="8118" w:type="dxa"/>
          </w:tcPr>
          <w:p w:rsidR="00A714AD" w:rsidRDefault="00A714AD" w:rsidP="00A714AD">
            <w:pPr>
              <w:pStyle w:val="Default"/>
              <w:numPr>
                <w:ilvl w:val="0"/>
                <w:numId w:val="10"/>
              </w:numPr>
              <w:rPr>
                <w:color w:val="auto"/>
              </w:rPr>
            </w:pPr>
            <w:r>
              <w:rPr>
                <w:color w:val="auto"/>
              </w:rPr>
              <w:t>A client or authorized personal representative should never be asked to sign a blank or incomplete authorization form.</w:t>
            </w:r>
          </w:p>
          <w:p w:rsidR="00A714AD" w:rsidRDefault="00A714AD" w:rsidP="00A714AD">
            <w:pPr>
              <w:pStyle w:val="Default"/>
              <w:numPr>
                <w:ilvl w:val="0"/>
                <w:numId w:val="10"/>
              </w:numPr>
              <w:rPr>
                <w:color w:val="auto"/>
              </w:rPr>
            </w:pPr>
            <w:r>
              <w:rPr>
                <w:color w:val="auto"/>
              </w:rPr>
              <w:t>Signature of both personal representative and the individual are not required.</w:t>
            </w:r>
          </w:p>
          <w:p w:rsidR="00A714AD" w:rsidRDefault="00A714AD" w:rsidP="00A714AD">
            <w:pPr>
              <w:pStyle w:val="Default"/>
              <w:numPr>
                <w:ilvl w:val="0"/>
                <w:numId w:val="10"/>
              </w:numPr>
              <w:rPr>
                <w:color w:val="auto"/>
              </w:rPr>
            </w:pPr>
            <w:r>
              <w:rPr>
                <w:color w:val="auto"/>
              </w:rPr>
              <w:t>Definition of “Personal Representative” may vary between programs.</w:t>
            </w:r>
            <w:r w:rsidR="004E64E4">
              <w:rPr>
                <w:color w:val="auto"/>
              </w:rPr>
              <w:t xml:space="preserve"> </w:t>
            </w:r>
            <w:r>
              <w:rPr>
                <w:color w:val="auto"/>
              </w:rPr>
              <w:t>If unsure, check with your manager.</w:t>
            </w:r>
          </w:p>
        </w:tc>
      </w:tr>
      <w:tr w:rsidR="00A714AD" w:rsidTr="00A714AD">
        <w:tc>
          <w:tcPr>
            <w:tcW w:w="2898" w:type="dxa"/>
          </w:tcPr>
          <w:p w:rsidR="00A714AD" w:rsidRPr="00A714AD" w:rsidRDefault="00A714AD">
            <w:pPr>
              <w:pStyle w:val="Default"/>
              <w:rPr>
                <w:b/>
                <w:color w:val="auto"/>
              </w:rPr>
            </w:pPr>
            <w:r w:rsidRPr="00A714AD">
              <w:rPr>
                <w:b/>
                <w:color w:val="auto"/>
              </w:rPr>
              <w:t>Signature and printed name of agency staff person providing this copy:</w:t>
            </w:r>
          </w:p>
        </w:tc>
        <w:tc>
          <w:tcPr>
            <w:tcW w:w="8118" w:type="dxa"/>
          </w:tcPr>
          <w:p w:rsidR="00A714AD" w:rsidRDefault="00A714AD" w:rsidP="00A714AD">
            <w:pPr>
              <w:pStyle w:val="Default"/>
              <w:numPr>
                <w:ilvl w:val="0"/>
                <w:numId w:val="11"/>
              </w:numPr>
              <w:rPr>
                <w:color w:val="auto"/>
              </w:rPr>
            </w:pPr>
            <w:r>
              <w:rPr>
                <w:color w:val="auto"/>
              </w:rPr>
              <w:t>Agency staff signature certifies that this is a true copy of the original authorization document.</w:t>
            </w:r>
          </w:p>
          <w:p w:rsidR="00A714AD" w:rsidRDefault="00A714AD" w:rsidP="00A714AD">
            <w:pPr>
              <w:pStyle w:val="Default"/>
              <w:numPr>
                <w:ilvl w:val="0"/>
                <w:numId w:val="11"/>
              </w:numPr>
              <w:rPr>
                <w:color w:val="auto"/>
              </w:rPr>
            </w:pPr>
            <w:r>
              <w:rPr>
                <w:color w:val="auto"/>
              </w:rPr>
              <w:t>DO NOT SIGN THE ORIGINAL AUTHORIZATION.</w:t>
            </w:r>
            <w:r w:rsidR="004E64E4">
              <w:rPr>
                <w:color w:val="auto"/>
              </w:rPr>
              <w:t xml:space="preserve"> </w:t>
            </w:r>
            <w:r w:rsidR="00D13FE0">
              <w:rPr>
                <w:color w:val="auto"/>
              </w:rPr>
              <w:t>Make a copy, and sign the copy before mailing or faxing.</w:t>
            </w:r>
          </w:p>
          <w:p w:rsidR="00D13FE0" w:rsidRDefault="00D13FE0" w:rsidP="00A714AD">
            <w:pPr>
              <w:pStyle w:val="Default"/>
              <w:numPr>
                <w:ilvl w:val="0"/>
                <w:numId w:val="11"/>
              </w:numPr>
              <w:rPr>
                <w:color w:val="auto"/>
              </w:rPr>
            </w:pPr>
            <w:r>
              <w:rPr>
                <w:color w:val="auto"/>
              </w:rPr>
              <w:t xml:space="preserve">When faxing or mailing, </w:t>
            </w:r>
            <w:r w:rsidRPr="00D13FE0">
              <w:rPr>
                <w:color w:val="auto"/>
                <w:u w:val="single"/>
              </w:rPr>
              <w:t>send both pages</w:t>
            </w:r>
            <w:r>
              <w:rPr>
                <w:color w:val="auto"/>
              </w:rPr>
              <w:t xml:space="preserve"> of the authorization.</w:t>
            </w:r>
            <w:r w:rsidR="004E64E4">
              <w:rPr>
                <w:color w:val="auto"/>
              </w:rPr>
              <w:t xml:space="preserve"> </w:t>
            </w:r>
            <w:r>
              <w:rPr>
                <w:color w:val="auto"/>
              </w:rPr>
              <w:t>The second page includes information that is required by law.</w:t>
            </w:r>
            <w:r w:rsidR="004E64E4">
              <w:rPr>
                <w:color w:val="auto"/>
              </w:rPr>
              <w:t xml:space="preserve"> </w:t>
            </w:r>
            <w:r>
              <w:rPr>
                <w:color w:val="auto"/>
              </w:rPr>
              <w:t>Healthcare and other YCHHS partners need to know that the client has been fully informed.</w:t>
            </w:r>
          </w:p>
        </w:tc>
      </w:tr>
    </w:tbl>
    <w:p w:rsidR="00506EE3" w:rsidRDefault="00506EE3">
      <w:pPr>
        <w:pStyle w:val="Default"/>
        <w:rPr>
          <w:color w:val="auto"/>
        </w:rPr>
      </w:pPr>
    </w:p>
    <w:tbl>
      <w:tblPr>
        <w:tblStyle w:val="TableGrid"/>
        <w:tblW w:w="0" w:type="auto"/>
        <w:tblLook w:val="04A0" w:firstRow="1" w:lastRow="0" w:firstColumn="1" w:lastColumn="0" w:noHBand="0" w:noVBand="1"/>
      </w:tblPr>
      <w:tblGrid>
        <w:gridCol w:w="2898"/>
        <w:gridCol w:w="8118"/>
      </w:tblGrid>
      <w:tr w:rsidR="00D13FE0" w:rsidTr="00D13FE0">
        <w:tc>
          <w:tcPr>
            <w:tcW w:w="11016" w:type="dxa"/>
            <w:gridSpan w:val="2"/>
            <w:shd w:val="clear" w:color="auto" w:fill="000000" w:themeFill="text1"/>
          </w:tcPr>
          <w:p w:rsidR="00D13FE0" w:rsidRPr="00D13FE0" w:rsidRDefault="00D13FE0" w:rsidP="004E64E4">
            <w:pPr>
              <w:pStyle w:val="Default"/>
              <w:rPr>
                <w:b/>
                <w:color w:val="auto"/>
              </w:rPr>
            </w:pPr>
            <w:r w:rsidRPr="00D13FE0">
              <w:rPr>
                <w:b/>
                <w:color w:val="auto"/>
              </w:rPr>
              <w:t xml:space="preserve">Page 2 - </w:t>
            </w:r>
            <w:r w:rsidR="004E64E4">
              <w:rPr>
                <w:b/>
                <w:color w:val="auto"/>
              </w:rPr>
              <w:t>Instructions</w:t>
            </w:r>
          </w:p>
        </w:tc>
      </w:tr>
      <w:tr w:rsidR="00D13FE0" w:rsidTr="00D13FE0">
        <w:tc>
          <w:tcPr>
            <w:tcW w:w="2898" w:type="dxa"/>
          </w:tcPr>
          <w:p w:rsidR="00D13FE0" w:rsidRPr="00D13FE0" w:rsidRDefault="00D13FE0">
            <w:pPr>
              <w:pStyle w:val="Default"/>
              <w:rPr>
                <w:b/>
                <w:color w:val="auto"/>
              </w:rPr>
            </w:pPr>
            <w:r w:rsidRPr="00D13FE0">
              <w:rPr>
                <w:b/>
                <w:color w:val="auto"/>
              </w:rPr>
              <w:t>Voluntary Signature:</w:t>
            </w:r>
          </w:p>
        </w:tc>
        <w:tc>
          <w:tcPr>
            <w:tcW w:w="8118" w:type="dxa"/>
          </w:tcPr>
          <w:p w:rsidR="00D13FE0" w:rsidRDefault="00D13FE0" w:rsidP="00D13FE0">
            <w:pPr>
              <w:pStyle w:val="Default"/>
              <w:numPr>
                <w:ilvl w:val="0"/>
                <w:numId w:val="12"/>
              </w:numPr>
              <w:rPr>
                <w:color w:val="auto"/>
              </w:rPr>
            </w:pPr>
            <w:r>
              <w:rPr>
                <w:color w:val="auto"/>
              </w:rPr>
              <w:t>Client signature is voluntary; therefore the client may decline to sign this authorization form.</w:t>
            </w:r>
          </w:p>
          <w:p w:rsidR="00D13FE0" w:rsidRDefault="00D13FE0" w:rsidP="00D13FE0">
            <w:pPr>
              <w:pStyle w:val="Default"/>
              <w:numPr>
                <w:ilvl w:val="0"/>
                <w:numId w:val="12"/>
              </w:numPr>
              <w:rPr>
                <w:color w:val="auto"/>
              </w:rPr>
            </w:pPr>
            <w:r>
              <w:rPr>
                <w:color w:val="auto"/>
              </w:rPr>
              <w:t>Declining to sign may impact the ability of the agencies to coordinate client services with health care professionals.</w:t>
            </w:r>
          </w:p>
          <w:p w:rsidR="00D13FE0" w:rsidRDefault="00D13FE0" w:rsidP="00D13FE0">
            <w:pPr>
              <w:pStyle w:val="Default"/>
              <w:numPr>
                <w:ilvl w:val="0"/>
                <w:numId w:val="12"/>
              </w:numPr>
              <w:rPr>
                <w:color w:val="auto"/>
              </w:rPr>
            </w:pPr>
            <w:r>
              <w:rPr>
                <w:color w:val="auto"/>
              </w:rPr>
              <w:t>Without a signed authorization, the agencies may be unable to verify eligibility requirements and may be unable to refer the client to other services.</w:t>
            </w:r>
          </w:p>
        </w:tc>
      </w:tr>
      <w:tr w:rsidR="00D13FE0" w:rsidTr="00D13FE0">
        <w:tc>
          <w:tcPr>
            <w:tcW w:w="2898" w:type="dxa"/>
          </w:tcPr>
          <w:p w:rsidR="00D13FE0" w:rsidRPr="00D13FE0" w:rsidRDefault="00D13FE0">
            <w:pPr>
              <w:pStyle w:val="Default"/>
              <w:rPr>
                <w:b/>
                <w:color w:val="auto"/>
              </w:rPr>
            </w:pPr>
            <w:r>
              <w:rPr>
                <w:b/>
                <w:color w:val="auto"/>
              </w:rPr>
              <w:t>Cancellation: (Revocation)</w:t>
            </w:r>
          </w:p>
        </w:tc>
        <w:tc>
          <w:tcPr>
            <w:tcW w:w="8118" w:type="dxa"/>
          </w:tcPr>
          <w:p w:rsidR="00D13FE0" w:rsidRDefault="00D13FE0" w:rsidP="00D13FE0">
            <w:pPr>
              <w:pStyle w:val="Default"/>
              <w:numPr>
                <w:ilvl w:val="0"/>
                <w:numId w:val="13"/>
              </w:numPr>
              <w:rPr>
                <w:color w:val="auto"/>
              </w:rPr>
            </w:pPr>
            <w:r>
              <w:rPr>
                <w:color w:val="auto"/>
              </w:rPr>
              <w:t xml:space="preserve">Inform the client of the right to cancel (revoke) the authorization. </w:t>
            </w:r>
          </w:p>
          <w:p w:rsidR="00D13FE0" w:rsidRDefault="00D13FE0" w:rsidP="00D13FE0">
            <w:pPr>
              <w:pStyle w:val="Default"/>
              <w:numPr>
                <w:ilvl w:val="0"/>
                <w:numId w:val="13"/>
              </w:numPr>
              <w:rPr>
                <w:color w:val="auto"/>
              </w:rPr>
            </w:pPr>
            <w:r>
              <w:rPr>
                <w:color w:val="auto"/>
              </w:rPr>
              <w:t>Except for drug and alcohol programs, the client is required to make the cancellation request in writing.</w:t>
            </w:r>
          </w:p>
          <w:p w:rsidR="00D13FE0" w:rsidRDefault="00D13FE0" w:rsidP="00D13FE0">
            <w:pPr>
              <w:pStyle w:val="Default"/>
              <w:numPr>
                <w:ilvl w:val="0"/>
                <w:numId w:val="13"/>
              </w:numPr>
              <w:rPr>
                <w:color w:val="auto"/>
              </w:rPr>
            </w:pPr>
            <w:r>
              <w:rPr>
                <w:color w:val="auto"/>
              </w:rPr>
              <w:lastRenderedPageBreak/>
              <w:t>Write the method and date of the cancellation on the authorization form, add the current date if different from the cancellation date, initial the cancellation entry, and place the authorization form in the client file.</w:t>
            </w:r>
          </w:p>
          <w:p w:rsidR="00D13FE0" w:rsidRDefault="00D13FE0" w:rsidP="00D13FE0">
            <w:pPr>
              <w:pStyle w:val="Default"/>
              <w:numPr>
                <w:ilvl w:val="0"/>
                <w:numId w:val="13"/>
              </w:numPr>
              <w:rPr>
                <w:color w:val="auto"/>
              </w:rPr>
            </w:pPr>
            <w:r>
              <w:rPr>
                <w:color w:val="auto"/>
              </w:rPr>
              <w:t>The client may cancel (revoke) disclosure to one or more team members listed on the authorization.</w:t>
            </w:r>
          </w:p>
        </w:tc>
      </w:tr>
      <w:tr w:rsidR="00D13FE0" w:rsidTr="00D13FE0">
        <w:tc>
          <w:tcPr>
            <w:tcW w:w="2898" w:type="dxa"/>
          </w:tcPr>
          <w:p w:rsidR="00D13FE0" w:rsidRDefault="00D13FE0">
            <w:pPr>
              <w:pStyle w:val="Default"/>
              <w:rPr>
                <w:b/>
                <w:color w:val="auto"/>
              </w:rPr>
            </w:pPr>
            <w:r>
              <w:rPr>
                <w:b/>
                <w:color w:val="auto"/>
              </w:rPr>
              <w:lastRenderedPageBreak/>
              <w:t>Minors:</w:t>
            </w:r>
          </w:p>
        </w:tc>
        <w:tc>
          <w:tcPr>
            <w:tcW w:w="8118" w:type="dxa"/>
          </w:tcPr>
          <w:p w:rsidR="00D13FE0" w:rsidRDefault="00D13FE0" w:rsidP="00D13FE0">
            <w:pPr>
              <w:pStyle w:val="Default"/>
              <w:numPr>
                <w:ilvl w:val="0"/>
                <w:numId w:val="13"/>
              </w:numPr>
              <w:rPr>
                <w:color w:val="auto"/>
              </w:rPr>
            </w:pPr>
            <w:r>
              <w:rPr>
                <w:color w:val="auto"/>
              </w:rPr>
              <w:t>A Program or subject-specific state laws may impact decisions about authorization forms signed by minors.</w:t>
            </w:r>
            <w:r w:rsidR="004E64E4">
              <w:rPr>
                <w:color w:val="auto"/>
              </w:rPr>
              <w:t xml:space="preserve"> </w:t>
            </w:r>
            <w:r>
              <w:rPr>
                <w:color w:val="auto"/>
              </w:rPr>
              <w:t>Check with your manager.</w:t>
            </w:r>
          </w:p>
        </w:tc>
      </w:tr>
      <w:tr w:rsidR="00762ED4" w:rsidTr="00D13FE0">
        <w:tc>
          <w:tcPr>
            <w:tcW w:w="2898" w:type="dxa"/>
          </w:tcPr>
          <w:p w:rsidR="00762ED4" w:rsidRDefault="00762ED4">
            <w:pPr>
              <w:pStyle w:val="Default"/>
              <w:rPr>
                <w:b/>
                <w:color w:val="auto"/>
              </w:rPr>
            </w:pPr>
            <w:r>
              <w:rPr>
                <w:b/>
                <w:color w:val="auto"/>
              </w:rPr>
              <w:t>Re-disclosure:</w:t>
            </w:r>
          </w:p>
        </w:tc>
        <w:tc>
          <w:tcPr>
            <w:tcW w:w="8118" w:type="dxa"/>
          </w:tcPr>
          <w:p w:rsidR="00762ED4" w:rsidRDefault="00762ED4" w:rsidP="00467D08">
            <w:pPr>
              <w:pStyle w:val="Default"/>
              <w:numPr>
                <w:ilvl w:val="0"/>
                <w:numId w:val="13"/>
              </w:numPr>
              <w:rPr>
                <w:color w:val="auto"/>
              </w:rPr>
            </w:pPr>
            <w:r>
              <w:rPr>
                <w:color w:val="auto"/>
              </w:rPr>
              <w:t>Re-disclosure is the disclosure of information to a person, program, agency subcontracted entity, or other entity beyond what is originally authorized.</w:t>
            </w:r>
            <w:r w:rsidR="004E64E4">
              <w:rPr>
                <w:color w:val="auto"/>
              </w:rPr>
              <w:t xml:space="preserve"> </w:t>
            </w:r>
            <w:r>
              <w:rPr>
                <w:color w:val="auto"/>
              </w:rPr>
              <w:t>Literally, this means disclosing the information for a new or different reason, to someone other than originally intended.</w:t>
            </w:r>
          </w:p>
          <w:p w:rsidR="00762ED4" w:rsidRDefault="00762ED4" w:rsidP="00D13FE0">
            <w:pPr>
              <w:pStyle w:val="Default"/>
              <w:numPr>
                <w:ilvl w:val="0"/>
                <w:numId w:val="13"/>
              </w:numPr>
              <w:rPr>
                <w:color w:val="auto"/>
              </w:rPr>
            </w:pPr>
            <w:r>
              <w:rPr>
                <w:color w:val="auto"/>
              </w:rPr>
              <w:t>Federal and state regulations prohibit making any further disclosure of alcohol/drug and HIV/AIDS information.</w:t>
            </w:r>
          </w:p>
        </w:tc>
      </w:tr>
    </w:tbl>
    <w:p w:rsidR="00D13FE0" w:rsidRDefault="00D13FE0">
      <w:pPr>
        <w:pStyle w:val="Default"/>
        <w:rPr>
          <w:color w:val="auto"/>
        </w:rPr>
      </w:pPr>
    </w:p>
    <w:tbl>
      <w:tblPr>
        <w:tblStyle w:val="TableGrid"/>
        <w:tblW w:w="0" w:type="auto"/>
        <w:tblLook w:val="04A0" w:firstRow="1" w:lastRow="0" w:firstColumn="1" w:lastColumn="0" w:noHBand="0" w:noVBand="1"/>
      </w:tblPr>
      <w:tblGrid>
        <w:gridCol w:w="11016"/>
      </w:tblGrid>
      <w:tr w:rsidR="00B13C59" w:rsidTr="00B13C59">
        <w:tc>
          <w:tcPr>
            <w:tcW w:w="11016" w:type="dxa"/>
          </w:tcPr>
          <w:p w:rsidR="00B13C59" w:rsidRPr="00B13C59" w:rsidRDefault="00B13C59">
            <w:pPr>
              <w:pStyle w:val="CM4"/>
              <w:spacing w:after="100"/>
              <w:rPr>
                <w:b/>
                <w:bCs/>
              </w:rPr>
            </w:pPr>
            <w:r w:rsidRPr="00B13C59">
              <w:rPr>
                <w:b/>
                <w:bCs/>
              </w:rPr>
              <w:t>Both Pages</w:t>
            </w:r>
          </w:p>
        </w:tc>
      </w:tr>
    </w:tbl>
    <w:p w:rsidR="00B13C59" w:rsidRDefault="003B5F76" w:rsidP="00B13C59">
      <w:pPr>
        <w:pStyle w:val="Default"/>
        <w:numPr>
          <w:ilvl w:val="0"/>
          <w:numId w:val="1"/>
        </w:numPr>
        <w:tabs>
          <w:tab w:val="left" w:pos="1080"/>
        </w:tabs>
        <w:ind w:left="720"/>
        <w:rPr>
          <w:color w:val="auto"/>
        </w:rPr>
      </w:pPr>
      <w:r w:rsidRPr="00B13C59">
        <w:rPr>
          <w:color w:val="auto"/>
        </w:rPr>
        <w:t xml:space="preserve">This form is not valid without page two. </w:t>
      </w:r>
    </w:p>
    <w:p w:rsidR="00B13C59" w:rsidRDefault="003B5F76" w:rsidP="00B13C59">
      <w:pPr>
        <w:pStyle w:val="Default"/>
        <w:numPr>
          <w:ilvl w:val="0"/>
          <w:numId w:val="1"/>
        </w:numPr>
        <w:tabs>
          <w:tab w:val="left" w:pos="1080"/>
        </w:tabs>
        <w:ind w:left="720"/>
        <w:rPr>
          <w:color w:val="auto"/>
        </w:rPr>
      </w:pPr>
      <w:r w:rsidRPr="00B13C59">
        <w:rPr>
          <w:color w:val="auto"/>
          <w:u w:val="single"/>
        </w:rPr>
        <w:t>Include both pages</w:t>
      </w:r>
      <w:r w:rsidRPr="00B13C59">
        <w:rPr>
          <w:color w:val="auto"/>
        </w:rPr>
        <w:t xml:space="preserve"> when sending/faxing a signed authorization to a record holder. State </w:t>
      </w:r>
    </w:p>
    <w:p w:rsidR="00B13C59" w:rsidRDefault="003B5F76" w:rsidP="00B13C59">
      <w:pPr>
        <w:pStyle w:val="Default"/>
        <w:tabs>
          <w:tab w:val="left" w:pos="1080"/>
        </w:tabs>
        <w:ind w:left="720" w:firstLine="720"/>
        <w:rPr>
          <w:color w:val="auto"/>
        </w:rPr>
      </w:pPr>
      <w:r w:rsidRPr="00B13C59">
        <w:rPr>
          <w:color w:val="auto"/>
        </w:rPr>
        <w:t xml:space="preserve">law requires that the client receive some of the information on the second page. The </w:t>
      </w:r>
    </w:p>
    <w:p w:rsidR="00506EE3" w:rsidRPr="00B13C59" w:rsidRDefault="003B5F76" w:rsidP="00B13C59">
      <w:pPr>
        <w:pStyle w:val="Default"/>
        <w:tabs>
          <w:tab w:val="left" w:pos="1080"/>
        </w:tabs>
        <w:ind w:left="720" w:firstLine="720"/>
        <w:rPr>
          <w:color w:val="auto"/>
        </w:rPr>
      </w:pPr>
      <w:r w:rsidRPr="00B13C59">
        <w:rPr>
          <w:color w:val="auto"/>
        </w:rPr>
        <w:t xml:space="preserve">record holder will want to know that the client has been made aware of that information. </w:t>
      </w:r>
    </w:p>
    <w:p w:rsidR="00506EE3" w:rsidRDefault="00506EE3" w:rsidP="00B13C59">
      <w:pPr>
        <w:pStyle w:val="Default"/>
        <w:tabs>
          <w:tab w:val="left" w:pos="1080"/>
        </w:tabs>
        <w:rPr>
          <w:color w:val="auto"/>
          <w:sz w:val="23"/>
          <w:szCs w:val="23"/>
        </w:rPr>
      </w:pPr>
    </w:p>
    <w:tbl>
      <w:tblPr>
        <w:tblStyle w:val="TableGrid"/>
        <w:tblW w:w="0" w:type="auto"/>
        <w:tblLook w:val="04A0" w:firstRow="1" w:lastRow="0" w:firstColumn="1" w:lastColumn="0" w:noHBand="0" w:noVBand="1"/>
      </w:tblPr>
      <w:tblGrid>
        <w:gridCol w:w="11016"/>
      </w:tblGrid>
      <w:tr w:rsidR="00B13C59" w:rsidTr="00B13C59">
        <w:tc>
          <w:tcPr>
            <w:tcW w:w="11016" w:type="dxa"/>
          </w:tcPr>
          <w:p w:rsidR="00B13C59" w:rsidRPr="00B13C59" w:rsidRDefault="00B13C59" w:rsidP="00B13C59">
            <w:pPr>
              <w:pStyle w:val="Default"/>
              <w:tabs>
                <w:tab w:val="left" w:pos="1080"/>
              </w:tabs>
              <w:rPr>
                <w:b/>
                <w:color w:val="auto"/>
              </w:rPr>
            </w:pPr>
            <w:r w:rsidRPr="00B13C59">
              <w:rPr>
                <w:b/>
                <w:color w:val="auto"/>
              </w:rPr>
              <w:t>Form Completion</w:t>
            </w:r>
          </w:p>
        </w:tc>
      </w:tr>
    </w:tbl>
    <w:p w:rsidR="00506EE3" w:rsidRDefault="00506EE3" w:rsidP="00B13C59">
      <w:pPr>
        <w:pStyle w:val="Default"/>
        <w:tabs>
          <w:tab w:val="left" w:pos="1080"/>
        </w:tabs>
        <w:rPr>
          <w:color w:val="auto"/>
        </w:rPr>
      </w:pPr>
    </w:p>
    <w:p w:rsidR="00506EE3" w:rsidRPr="00B13C59" w:rsidRDefault="00B13C59" w:rsidP="00B13C59">
      <w:pPr>
        <w:pStyle w:val="Default"/>
        <w:numPr>
          <w:ilvl w:val="0"/>
          <w:numId w:val="17"/>
        </w:numPr>
        <w:tabs>
          <w:tab w:val="left" w:pos="1080"/>
        </w:tabs>
        <w:rPr>
          <w:color w:val="auto"/>
        </w:rPr>
      </w:pPr>
      <w:r w:rsidRPr="00B13C59">
        <w:rPr>
          <w:color w:val="auto"/>
        </w:rPr>
        <w:t>T</w:t>
      </w:r>
      <w:r w:rsidR="003B5F76" w:rsidRPr="00B13C59">
        <w:rPr>
          <w:color w:val="auto"/>
        </w:rPr>
        <w:t xml:space="preserve">he authorization form can be filled out electronically and printed for client signature </w:t>
      </w:r>
    </w:p>
    <w:p w:rsidR="00B13C59" w:rsidRDefault="00B13C59" w:rsidP="00B13C59">
      <w:pPr>
        <w:pStyle w:val="Default"/>
        <w:tabs>
          <w:tab w:val="left" w:pos="1080"/>
          <w:tab w:val="left" w:pos="5067"/>
        </w:tabs>
        <w:rPr>
          <w:color w:val="auto"/>
        </w:rPr>
      </w:pPr>
      <w:r>
        <w:rPr>
          <w:color w:val="auto"/>
        </w:rPr>
        <w:tab/>
      </w:r>
      <w:r w:rsidR="003B5F76" w:rsidRPr="00B13C59">
        <w:rPr>
          <w:color w:val="auto"/>
        </w:rPr>
        <w:t xml:space="preserve">After being completed and signed, authorization forms can be stored in an electronic </w:t>
      </w:r>
    </w:p>
    <w:p w:rsidR="00B13C59" w:rsidRDefault="00B13C59" w:rsidP="00B13C59">
      <w:pPr>
        <w:pStyle w:val="Default"/>
        <w:tabs>
          <w:tab w:val="left" w:pos="1080"/>
          <w:tab w:val="left" w:pos="1170"/>
          <w:tab w:val="left" w:pos="1440"/>
          <w:tab w:val="left" w:pos="1530"/>
          <w:tab w:val="left" w:pos="1620"/>
          <w:tab w:val="left" w:pos="5067"/>
        </w:tabs>
        <w:rPr>
          <w:color w:val="auto"/>
        </w:rPr>
      </w:pPr>
      <w:r>
        <w:rPr>
          <w:color w:val="auto"/>
        </w:rPr>
        <w:tab/>
      </w:r>
      <w:r w:rsidR="003B5F76" w:rsidRPr="00B13C59">
        <w:rPr>
          <w:color w:val="auto"/>
        </w:rPr>
        <w:t xml:space="preserve">database, as long as the client-signed form is maintained in the paper file. If needed, </w:t>
      </w:r>
    </w:p>
    <w:p w:rsidR="00B13C59" w:rsidRDefault="00B13C59" w:rsidP="00B13C59">
      <w:pPr>
        <w:pStyle w:val="Default"/>
        <w:tabs>
          <w:tab w:val="left" w:pos="1080"/>
          <w:tab w:val="left" w:pos="1170"/>
          <w:tab w:val="left" w:pos="1440"/>
          <w:tab w:val="left" w:pos="1530"/>
          <w:tab w:val="left" w:pos="1620"/>
          <w:tab w:val="left" w:pos="5067"/>
        </w:tabs>
        <w:rPr>
          <w:color w:val="auto"/>
        </w:rPr>
      </w:pPr>
      <w:r>
        <w:rPr>
          <w:color w:val="auto"/>
        </w:rPr>
        <w:tab/>
      </w:r>
      <w:r w:rsidR="003B5F76" w:rsidRPr="00B13C59">
        <w:rPr>
          <w:color w:val="auto"/>
        </w:rPr>
        <w:t xml:space="preserve">more than one authorization form for an individual client can be stored in this database. </w:t>
      </w:r>
    </w:p>
    <w:p w:rsidR="00B13C59" w:rsidRDefault="003B5F76" w:rsidP="00B13C59">
      <w:pPr>
        <w:pStyle w:val="Default"/>
        <w:numPr>
          <w:ilvl w:val="1"/>
          <w:numId w:val="13"/>
        </w:numPr>
        <w:tabs>
          <w:tab w:val="left" w:pos="1080"/>
          <w:tab w:val="left" w:pos="1170"/>
          <w:tab w:val="left" w:pos="1440"/>
          <w:tab w:val="left" w:pos="1530"/>
          <w:tab w:val="left" w:pos="1620"/>
          <w:tab w:val="left" w:pos="5067"/>
        </w:tabs>
        <w:rPr>
          <w:color w:val="auto"/>
        </w:rPr>
      </w:pPr>
      <w:r w:rsidRPr="00B13C59">
        <w:rPr>
          <w:color w:val="auto"/>
        </w:rPr>
        <w:t xml:space="preserve">If completed authorization forms are stored in a database, make sure you have a process in place for revocation. If a signed authorization is later revoked (cancelled) that revocation must be noted in the database as well as in the paper file. </w:t>
      </w:r>
    </w:p>
    <w:p w:rsidR="00B13C59" w:rsidRDefault="003B5F76" w:rsidP="00B13C59">
      <w:pPr>
        <w:pStyle w:val="Default"/>
        <w:numPr>
          <w:ilvl w:val="0"/>
          <w:numId w:val="2"/>
        </w:numPr>
        <w:tabs>
          <w:tab w:val="left" w:pos="1080"/>
          <w:tab w:val="left" w:pos="1170"/>
          <w:tab w:val="left" w:pos="1440"/>
          <w:tab w:val="left" w:pos="1530"/>
          <w:tab w:val="left" w:pos="1620"/>
          <w:tab w:val="left" w:pos="5067"/>
        </w:tabs>
        <w:ind w:left="720"/>
        <w:rPr>
          <w:color w:val="auto"/>
        </w:rPr>
      </w:pPr>
      <w:r w:rsidRPr="00B13C59">
        <w:rPr>
          <w:color w:val="auto"/>
        </w:rPr>
        <w:t xml:space="preserve">The authorization form can be pre-printed with standard multidisciplinary team members, as </w:t>
      </w:r>
    </w:p>
    <w:p w:rsidR="00B13C59" w:rsidRDefault="00B13C59" w:rsidP="00B13C59">
      <w:pPr>
        <w:pStyle w:val="Default"/>
        <w:tabs>
          <w:tab w:val="left" w:pos="1080"/>
          <w:tab w:val="left" w:pos="1170"/>
          <w:tab w:val="left" w:pos="1440"/>
          <w:tab w:val="left" w:pos="1530"/>
          <w:tab w:val="left" w:pos="1620"/>
          <w:tab w:val="left" w:pos="5067"/>
        </w:tabs>
        <w:ind w:left="720"/>
        <w:rPr>
          <w:color w:val="auto"/>
        </w:rPr>
      </w:pPr>
      <w:r>
        <w:rPr>
          <w:color w:val="auto"/>
        </w:rPr>
        <w:tab/>
      </w:r>
      <w:proofErr w:type="gramStart"/>
      <w:r w:rsidR="003B5F76" w:rsidRPr="00B13C59">
        <w:rPr>
          <w:color w:val="auto"/>
        </w:rPr>
        <w:t>long</w:t>
      </w:r>
      <w:proofErr w:type="gramEnd"/>
      <w:r w:rsidR="003B5F76" w:rsidRPr="00B13C59">
        <w:rPr>
          <w:color w:val="auto"/>
        </w:rPr>
        <w:t xml:space="preserve"> as the client is given the option to omit one or more team members.</w:t>
      </w:r>
      <w:r w:rsidR="004E64E4">
        <w:rPr>
          <w:color w:val="auto"/>
        </w:rPr>
        <w:t xml:space="preserve"> </w:t>
      </w:r>
    </w:p>
    <w:p w:rsidR="00B13C59" w:rsidRDefault="003B5F76" w:rsidP="00B13C59">
      <w:pPr>
        <w:pStyle w:val="Default"/>
        <w:numPr>
          <w:ilvl w:val="0"/>
          <w:numId w:val="2"/>
        </w:numPr>
        <w:tabs>
          <w:tab w:val="left" w:pos="1080"/>
          <w:tab w:val="left" w:pos="1170"/>
          <w:tab w:val="left" w:pos="1440"/>
          <w:tab w:val="left" w:pos="1530"/>
          <w:tab w:val="left" w:pos="1620"/>
          <w:tab w:val="left" w:pos="5067"/>
        </w:tabs>
        <w:ind w:left="720"/>
        <w:rPr>
          <w:color w:val="auto"/>
        </w:rPr>
      </w:pPr>
      <w:r w:rsidRPr="00B13C59">
        <w:rPr>
          <w:color w:val="auto"/>
        </w:rPr>
        <w:t xml:space="preserve">Do not use labels on the authorization form. </w:t>
      </w:r>
    </w:p>
    <w:p w:rsidR="00506EE3" w:rsidRPr="00B13C59" w:rsidRDefault="003B5F76" w:rsidP="00B13C59">
      <w:pPr>
        <w:pStyle w:val="Default"/>
        <w:numPr>
          <w:ilvl w:val="0"/>
          <w:numId w:val="2"/>
        </w:numPr>
        <w:tabs>
          <w:tab w:val="left" w:pos="1080"/>
          <w:tab w:val="left" w:pos="1170"/>
          <w:tab w:val="left" w:pos="1440"/>
          <w:tab w:val="left" w:pos="1530"/>
          <w:tab w:val="left" w:pos="1620"/>
          <w:tab w:val="left" w:pos="5067"/>
        </w:tabs>
        <w:ind w:left="720"/>
        <w:rPr>
          <w:color w:val="auto"/>
        </w:rPr>
      </w:pPr>
      <w:r w:rsidRPr="00B13C59">
        <w:rPr>
          <w:color w:val="auto"/>
        </w:rPr>
        <w:t>When completed properly, the form is able to stand alone to process a requested disclosure.</w:t>
      </w:r>
      <w:r w:rsidR="004E64E4">
        <w:rPr>
          <w:color w:val="auto"/>
        </w:rPr>
        <w:t xml:space="preserve"> </w:t>
      </w:r>
    </w:p>
    <w:p w:rsidR="00506EE3" w:rsidRDefault="00506EE3">
      <w:pPr>
        <w:pStyle w:val="Default"/>
        <w:rPr>
          <w:color w:val="auto"/>
          <w:sz w:val="23"/>
          <w:szCs w:val="23"/>
        </w:rPr>
      </w:pPr>
    </w:p>
    <w:p w:rsidR="00506EE3" w:rsidRPr="00B13C59" w:rsidRDefault="003B5F76" w:rsidP="00B13C59">
      <w:pPr>
        <w:pStyle w:val="CM5"/>
        <w:spacing w:after="205" w:line="278" w:lineRule="atLeast"/>
        <w:rPr>
          <w:b/>
          <w:bCs/>
          <w:sz w:val="28"/>
          <w:szCs w:val="28"/>
        </w:rPr>
      </w:pPr>
      <w:r>
        <w:rPr>
          <w:b/>
          <w:bCs/>
          <w:sz w:val="28"/>
          <w:szCs w:val="28"/>
        </w:rPr>
        <w:t>Trouble shooting</w:t>
      </w:r>
      <w:r w:rsidR="00B13C59">
        <w:rPr>
          <w:b/>
          <w:bCs/>
          <w:sz w:val="28"/>
          <w:szCs w:val="28"/>
        </w:rPr>
        <w:br/>
      </w:r>
      <w:r w:rsidRPr="00B13C59">
        <w:t>If the authorization form you send out has been completed, signed and sent properly, and a record holder refuses to accept it, call the Privacy Officer at 503-434-7523</w:t>
      </w:r>
      <w:r>
        <w:rPr>
          <w:sz w:val="23"/>
          <w:szCs w:val="23"/>
        </w:rPr>
        <w:t xml:space="preserve"> </w:t>
      </w:r>
    </w:p>
    <w:p w:rsidR="00506EE3" w:rsidRPr="00B13C59" w:rsidRDefault="003B5F76">
      <w:pPr>
        <w:pStyle w:val="CM4"/>
        <w:spacing w:after="100" w:line="276" w:lineRule="atLeast"/>
        <w:rPr>
          <w:sz w:val="28"/>
          <w:szCs w:val="28"/>
        </w:rPr>
      </w:pPr>
      <w:r w:rsidRPr="00B13C59">
        <w:rPr>
          <w:b/>
          <w:bCs/>
          <w:sz w:val="28"/>
          <w:szCs w:val="28"/>
        </w:rPr>
        <w:t xml:space="preserve">Common mistakes made when completing an authorization form. </w:t>
      </w:r>
    </w:p>
    <w:p w:rsidR="00B13C59" w:rsidRPr="00B13C59" w:rsidRDefault="003B5F76" w:rsidP="00B13C59">
      <w:pPr>
        <w:pStyle w:val="Default"/>
        <w:numPr>
          <w:ilvl w:val="0"/>
          <w:numId w:val="18"/>
        </w:numPr>
        <w:spacing w:after="6"/>
        <w:rPr>
          <w:color w:val="auto"/>
        </w:rPr>
      </w:pPr>
      <w:r w:rsidRPr="00B13C59">
        <w:rPr>
          <w:color w:val="auto"/>
        </w:rPr>
        <w:t>Writing illegibly. If your handwriting is difficult to read, print or type the information onto</w:t>
      </w:r>
      <w:r w:rsidR="00B13C59" w:rsidRPr="00B13C59">
        <w:rPr>
          <w:color w:val="auto"/>
        </w:rPr>
        <w:t xml:space="preserve"> the form.</w:t>
      </w:r>
    </w:p>
    <w:p w:rsidR="00B13C59" w:rsidRPr="00B13C59" w:rsidRDefault="003B5F76" w:rsidP="00B13C59">
      <w:pPr>
        <w:pStyle w:val="Default"/>
        <w:numPr>
          <w:ilvl w:val="0"/>
          <w:numId w:val="18"/>
        </w:numPr>
        <w:spacing w:after="6"/>
        <w:rPr>
          <w:color w:val="auto"/>
        </w:rPr>
      </w:pPr>
      <w:r w:rsidRPr="00B13C59">
        <w:rPr>
          <w:color w:val="auto"/>
        </w:rPr>
        <w:t>Requesting that records be sent to you but not providing a mailing address or fax number to a record holder.</w:t>
      </w:r>
    </w:p>
    <w:p w:rsidR="00B13C59" w:rsidRPr="00B13C59" w:rsidRDefault="003B5F76" w:rsidP="00B13C59">
      <w:pPr>
        <w:pStyle w:val="Default"/>
        <w:numPr>
          <w:ilvl w:val="0"/>
          <w:numId w:val="18"/>
        </w:numPr>
        <w:spacing w:after="6"/>
        <w:rPr>
          <w:color w:val="auto"/>
        </w:rPr>
      </w:pPr>
      <w:r w:rsidRPr="00B13C59">
        <w:rPr>
          <w:color w:val="auto"/>
        </w:rPr>
        <w:t>Mailing or faxing only one page of the authorization form. The authorization form is two pages long and both pages must be included when mailed or faxed.</w:t>
      </w:r>
      <w:r w:rsidR="004E64E4">
        <w:rPr>
          <w:color w:val="auto"/>
        </w:rPr>
        <w:t xml:space="preserve"> </w:t>
      </w:r>
    </w:p>
    <w:p w:rsidR="00B13C59" w:rsidRPr="00B13C59" w:rsidRDefault="003B5F76" w:rsidP="00B13C59">
      <w:pPr>
        <w:pStyle w:val="Default"/>
        <w:numPr>
          <w:ilvl w:val="0"/>
          <w:numId w:val="18"/>
        </w:numPr>
        <w:spacing w:after="6"/>
        <w:rPr>
          <w:color w:val="auto"/>
        </w:rPr>
      </w:pPr>
      <w:r w:rsidRPr="00B13C59">
        <w:rPr>
          <w:color w:val="auto"/>
        </w:rPr>
        <w:t>Asking the client to sign an authorization form that has not been completed. Clients have the right to be fully informed about what they are signing and what that will mean to them.</w:t>
      </w:r>
      <w:r w:rsidR="004E64E4">
        <w:rPr>
          <w:color w:val="auto"/>
        </w:rPr>
        <w:t xml:space="preserve"> </w:t>
      </w:r>
    </w:p>
    <w:p w:rsidR="00B13C59" w:rsidRPr="00B13C59" w:rsidRDefault="003B5F76" w:rsidP="00B13C59">
      <w:pPr>
        <w:pStyle w:val="Default"/>
        <w:numPr>
          <w:ilvl w:val="0"/>
          <w:numId w:val="18"/>
        </w:numPr>
        <w:spacing w:after="6"/>
        <w:rPr>
          <w:color w:val="auto"/>
        </w:rPr>
      </w:pPr>
      <w:r w:rsidRPr="00B13C59">
        <w:rPr>
          <w:color w:val="auto"/>
        </w:rPr>
        <w:t xml:space="preserve">Being too general in the “Specific information to be disclosed” or the “Purpose” section. </w:t>
      </w:r>
    </w:p>
    <w:p w:rsidR="00B13C59" w:rsidRPr="00B13C59" w:rsidRDefault="003B5F76" w:rsidP="00B13C59">
      <w:pPr>
        <w:pStyle w:val="Default"/>
        <w:numPr>
          <w:ilvl w:val="0"/>
          <w:numId w:val="18"/>
        </w:numPr>
        <w:spacing w:after="6"/>
        <w:rPr>
          <w:color w:val="auto"/>
        </w:rPr>
      </w:pPr>
      <w:r w:rsidRPr="00B13C59">
        <w:rPr>
          <w:color w:val="auto"/>
        </w:rPr>
        <w:t xml:space="preserve">Not including the date of birth in order to more easily identify the individual. </w:t>
      </w:r>
    </w:p>
    <w:p w:rsidR="00B13C59" w:rsidRPr="00B13C59" w:rsidRDefault="003B5F76" w:rsidP="00B13C59">
      <w:pPr>
        <w:pStyle w:val="Default"/>
        <w:numPr>
          <w:ilvl w:val="0"/>
          <w:numId w:val="18"/>
        </w:numPr>
        <w:spacing w:after="6"/>
        <w:rPr>
          <w:color w:val="auto"/>
        </w:rPr>
      </w:pPr>
      <w:r w:rsidRPr="00B13C59">
        <w:rPr>
          <w:color w:val="auto"/>
        </w:rPr>
        <w:t>Signing the original authorization to certify that it is a true copy, rather than signing</w:t>
      </w:r>
      <w:r w:rsidR="00B13C59" w:rsidRPr="00B13C59">
        <w:rPr>
          <w:color w:val="auto"/>
        </w:rPr>
        <w:t xml:space="preserve"> </w:t>
      </w:r>
      <w:r w:rsidRPr="00B13C59">
        <w:rPr>
          <w:color w:val="auto"/>
        </w:rPr>
        <w:t xml:space="preserve">a copy. </w:t>
      </w:r>
    </w:p>
    <w:p w:rsidR="00506EE3" w:rsidRPr="00B13C59" w:rsidRDefault="00B13C59" w:rsidP="00B13C59">
      <w:pPr>
        <w:pStyle w:val="Default"/>
        <w:numPr>
          <w:ilvl w:val="0"/>
          <w:numId w:val="18"/>
        </w:numPr>
        <w:spacing w:after="6"/>
        <w:rPr>
          <w:color w:val="auto"/>
        </w:rPr>
      </w:pPr>
      <w:r w:rsidRPr="00B13C59">
        <w:rPr>
          <w:color w:val="auto"/>
        </w:rPr>
        <w:t>H</w:t>
      </w:r>
      <w:r w:rsidR="003B5F76" w:rsidRPr="00B13C59">
        <w:rPr>
          <w:color w:val="auto"/>
        </w:rPr>
        <w:t xml:space="preserve">aving someone without sufficient authority sign the authorization on behalf of the client. </w:t>
      </w:r>
    </w:p>
    <w:p w:rsidR="00506EE3" w:rsidRDefault="00506EE3">
      <w:pPr>
        <w:pStyle w:val="Default"/>
        <w:rPr>
          <w:color w:val="auto"/>
          <w:sz w:val="23"/>
          <w:szCs w:val="23"/>
        </w:rPr>
      </w:pPr>
    </w:p>
    <w:sectPr w:rsidR="00506EE3" w:rsidSect="006B34F3">
      <w:type w:val="continuous"/>
      <w:pgSz w:w="12240" w:h="16340"/>
      <w:pgMar w:top="720" w:right="720" w:bottom="720" w:left="720" w:header="720" w:footer="36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1EA" w:rsidRDefault="005431EA" w:rsidP="00253846">
      <w:pPr>
        <w:spacing w:after="0" w:line="240" w:lineRule="auto"/>
      </w:pPr>
      <w:r>
        <w:separator/>
      </w:r>
    </w:p>
  </w:endnote>
  <w:endnote w:type="continuationSeparator" w:id="0">
    <w:p w:rsidR="005431EA" w:rsidRDefault="005431EA" w:rsidP="00253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BDC" w:rsidRDefault="00424B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846" w:rsidRDefault="00253846" w:rsidP="00253846">
    <w:pPr>
      <w:pStyle w:val="Default"/>
      <w:spacing w:line="228" w:lineRule="atLeast"/>
      <w:jc w:val="right"/>
      <w:rPr>
        <w:color w:val="auto"/>
        <w:sz w:val="20"/>
        <w:szCs w:val="20"/>
      </w:rPr>
    </w:pPr>
    <w:r>
      <w:rPr>
        <w:color w:val="auto"/>
        <w:sz w:val="20"/>
        <w:szCs w:val="20"/>
      </w:rPr>
      <w:t xml:space="preserve">Adapted from MSC 2099 I </w:t>
    </w:r>
    <w:r w:rsidR="00D13FE0" w:rsidRPr="00D13FE0">
      <w:rPr>
        <w:color w:val="auto"/>
        <w:sz w:val="20"/>
        <w:szCs w:val="20"/>
      </w:rPr>
      <w:t xml:space="preserve">Page </w:t>
    </w:r>
    <w:r w:rsidR="00D13FE0" w:rsidRPr="00D13FE0">
      <w:rPr>
        <w:b/>
        <w:color w:val="auto"/>
        <w:sz w:val="20"/>
        <w:szCs w:val="20"/>
      </w:rPr>
      <w:fldChar w:fldCharType="begin"/>
    </w:r>
    <w:r w:rsidR="00D13FE0" w:rsidRPr="00D13FE0">
      <w:rPr>
        <w:b/>
        <w:color w:val="auto"/>
        <w:sz w:val="20"/>
        <w:szCs w:val="20"/>
      </w:rPr>
      <w:instrText xml:space="preserve"> PAGE  \* Arabic  \* MERGEFORMAT </w:instrText>
    </w:r>
    <w:r w:rsidR="00D13FE0" w:rsidRPr="00D13FE0">
      <w:rPr>
        <w:b/>
        <w:color w:val="auto"/>
        <w:sz w:val="20"/>
        <w:szCs w:val="20"/>
      </w:rPr>
      <w:fldChar w:fldCharType="separate"/>
    </w:r>
    <w:r w:rsidR="006761B9">
      <w:rPr>
        <w:b/>
        <w:noProof/>
        <w:color w:val="auto"/>
        <w:sz w:val="20"/>
        <w:szCs w:val="20"/>
      </w:rPr>
      <w:t>1</w:t>
    </w:r>
    <w:r w:rsidR="00D13FE0" w:rsidRPr="00D13FE0">
      <w:rPr>
        <w:b/>
        <w:color w:val="auto"/>
        <w:sz w:val="20"/>
        <w:szCs w:val="20"/>
      </w:rPr>
      <w:fldChar w:fldCharType="end"/>
    </w:r>
    <w:r w:rsidR="00D13FE0" w:rsidRPr="00D13FE0">
      <w:rPr>
        <w:color w:val="auto"/>
        <w:sz w:val="20"/>
        <w:szCs w:val="20"/>
      </w:rPr>
      <w:t xml:space="preserve"> of </w:t>
    </w:r>
    <w:r w:rsidR="00D13FE0" w:rsidRPr="00D13FE0">
      <w:rPr>
        <w:b/>
        <w:color w:val="auto"/>
        <w:sz w:val="20"/>
        <w:szCs w:val="20"/>
      </w:rPr>
      <w:fldChar w:fldCharType="begin"/>
    </w:r>
    <w:r w:rsidR="00D13FE0" w:rsidRPr="00D13FE0">
      <w:rPr>
        <w:b/>
        <w:color w:val="auto"/>
        <w:sz w:val="20"/>
        <w:szCs w:val="20"/>
      </w:rPr>
      <w:instrText xml:space="preserve"> NUMPAGES  \* Arabic  \* MERGEFORMAT </w:instrText>
    </w:r>
    <w:r w:rsidR="00D13FE0" w:rsidRPr="00D13FE0">
      <w:rPr>
        <w:b/>
        <w:color w:val="auto"/>
        <w:sz w:val="20"/>
        <w:szCs w:val="20"/>
      </w:rPr>
      <w:fldChar w:fldCharType="separate"/>
    </w:r>
    <w:r w:rsidR="006761B9">
      <w:rPr>
        <w:b/>
        <w:noProof/>
        <w:color w:val="auto"/>
        <w:sz w:val="20"/>
        <w:szCs w:val="20"/>
      </w:rPr>
      <w:t>3</w:t>
    </w:r>
    <w:r w:rsidR="00D13FE0" w:rsidRPr="00D13FE0">
      <w:rPr>
        <w:b/>
        <w:color w:val="auto"/>
        <w:sz w:val="20"/>
        <w:szCs w:val="20"/>
      </w:rPr>
      <w:fldChar w:fldCharType="end"/>
    </w:r>
  </w:p>
  <w:p w:rsidR="00253846" w:rsidRDefault="00C05C55">
    <w:pPr>
      <w:pStyle w:val="Footer"/>
    </w:pPr>
    <w:r>
      <w:t>Revised 3/25/2015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BDC" w:rsidRDefault="00424B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1EA" w:rsidRDefault="005431EA" w:rsidP="00253846">
      <w:pPr>
        <w:spacing w:after="0" w:line="240" w:lineRule="auto"/>
      </w:pPr>
      <w:r>
        <w:separator/>
      </w:r>
    </w:p>
  </w:footnote>
  <w:footnote w:type="continuationSeparator" w:id="0">
    <w:p w:rsidR="005431EA" w:rsidRDefault="005431EA" w:rsidP="002538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BDC" w:rsidRDefault="00424B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BDC" w:rsidRDefault="00424B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BDC" w:rsidRDefault="00424B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9E15B1"/>
    <w:multiLevelType w:val="hybridMultilevel"/>
    <w:tmpl w:val="00C4BA0A"/>
    <w:lvl w:ilvl="0" w:tplc="04090003">
      <w:start w:val="1"/>
      <w:numFmt w:val="bullet"/>
      <w:lvlText w:val="o"/>
      <w:lvlJc w:val="left"/>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635CD8"/>
    <w:multiLevelType w:val="hybridMultilevel"/>
    <w:tmpl w:val="BBA8D59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D33053"/>
    <w:multiLevelType w:val="hybridMultilevel"/>
    <w:tmpl w:val="240C6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433D8D"/>
    <w:multiLevelType w:val="hybridMultilevel"/>
    <w:tmpl w:val="017411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CA74BE"/>
    <w:multiLevelType w:val="hybridMultilevel"/>
    <w:tmpl w:val="E6A018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B6F0A91"/>
    <w:multiLevelType w:val="hybridMultilevel"/>
    <w:tmpl w:val="F7260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C63C3F9"/>
    <w:multiLevelType w:val="hybridMultilevel"/>
    <w:tmpl w:val="78E0C9D8"/>
    <w:lvl w:ilvl="0" w:tplc="04090003">
      <w:start w:val="1"/>
      <w:numFmt w:val="bullet"/>
      <w:lvlText w:val="o"/>
      <w:lvlJc w:val="left"/>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31C62CDF"/>
    <w:multiLevelType w:val="hybridMultilevel"/>
    <w:tmpl w:val="48A42D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0A2379B"/>
    <w:multiLevelType w:val="hybridMultilevel"/>
    <w:tmpl w:val="CD6C4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1B74F89"/>
    <w:multiLevelType w:val="hybridMultilevel"/>
    <w:tmpl w:val="E94E079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6625872"/>
    <w:multiLevelType w:val="hybridMultilevel"/>
    <w:tmpl w:val="8638B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AB25B71"/>
    <w:multiLevelType w:val="hybridMultilevel"/>
    <w:tmpl w:val="6CFED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42C46EC"/>
    <w:multiLevelType w:val="hybridMultilevel"/>
    <w:tmpl w:val="9852F104"/>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6786408B"/>
    <w:multiLevelType w:val="hybridMultilevel"/>
    <w:tmpl w:val="1CC03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8DD45A6"/>
    <w:multiLevelType w:val="hybridMultilevel"/>
    <w:tmpl w:val="5760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40212E"/>
    <w:multiLevelType w:val="hybridMultilevel"/>
    <w:tmpl w:val="3130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CA6FDC"/>
    <w:multiLevelType w:val="hybridMultilevel"/>
    <w:tmpl w:val="59FEF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B9776E"/>
    <w:multiLevelType w:val="hybridMultilevel"/>
    <w:tmpl w:val="F24AB7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2"/>
  </w:num>
  <w:num w:numId="4">
    <w:abstractNumId w:val="13"/>
  </w:num>
  <w:num w:numId="5">
    <w:abstractNumId w:val="14"/>
  </w:num>
  <w:num w:numId="6">
    <w:abstractNumId w:val="2"/>
  </w:num>
  <w:num w:numId="7">
    <w:abstractNumId w:val="15"/>
  </w:num>
  <w:num w:numId="8">
    <w:abstractNumId w:val="10"/>
  </w:num>
  <w:num w:numId="9">
    <w:abstractNumId w:val="5"/>
  </w:num>
  <w:num w:numId="10">
    <w:abstractNumId w:val="8"/>
  </w:num>
  <w:num w:numId="11">
    <w:abstractNumId w:val="4"/>
  </w:num>
  <w:num w:numId="12">
    <w:abstractNumId w:val="11"/>
  </w:num>
  <w:num w:numId="13">
    <w:abstractNumId w:val="1"/>
  </w:num>
  <w:num w:numId="14">
    <w:abstractNumId w:val="17"/>
  </w:num>
  <w:num w:numId="15">
    <w:abstractNumId w:val="7"/>
  </w:num>
  <w:num w:numId="16">
    <w:abstractNumId w:val="3"/>
  </w:num>
  <w:num w:numId="17">
    <w:abstractNumId w:val="9"/>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cumentProtection w:edit="readOnly" w:enforcement="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7B6"/>
    <w:rsid w:val="0010593B"/>
    <w:rsid w:val="00135654"/>
    <w:rsid w:val="00192CDA"/>
    <w:rsid w:val="00253846"/>
    <w:rsid w:val="002F7D78"/>
    <w:rsid w:val="00393A23"/>
    <w:rsid w:val="003B5F76"/>
    <w:rsid w:val="00424BDC"/>
    <w:rsid w:val="00427A72"/>
    <w:rsid w:val="004B1CFE"/>
    <w:rsid w:val="004E64E4"/>
    <w:rsid w:val="00506EE3"/>
    <w:rsid w:val="005431EA"/>
    <w:rsid w:val="005707B6"/>
    <w:rsid w:val="006329AD"/>
    <w:rsid w:val="006761B9"/>
    <w:rsid w:val="006B34F3"/>
    <w:rsid w:val="00730AA4"/>
    <w:rsid w:val="00762ED4"/>
    <w:rsid w:val="00777089"/>
    <w:rsid w:val="008D4485"/>
    <w:rsid w:val="008D6295"/>
    <w:rsid w:val="008E3D74"/>
    <w:rsid w:val="009B611A"/>
    <w:rsid w:val="009B71FF"/>
    <w:rsid w:val="00A26652"/>
    <w:rsid w:val="00A714AD"/>
    <w:rsid w:val="00AB6195"/>
    <w:rsid w:val="00B13913"/>
    <w:rsid w:val="00B13C59"/>
    <w:rsid w:val="00B549CC"/>
    <w:rsid w:val="00BA3D03"/>
    <w:rsid w:val="00C02EAC"/>
    <w:rsid w:val="00C05C55"/>
    <w:rsid w:val="00C27C7D"/>
    <w:rsid w:val="00C36C2F"/>
    <w:rsid w:val="00D13FE0"/>
    <w:rsid w:val="00D71DBB"/>
    <w:rsid w:val="00D96FB0"/>
    <w:rsid w:val="00D972F4"/>
    <w:rsid w:val="00F05C76"/>
    <w:rsid w:val="00FC0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customStyle="1" w:styleId="CM4">
    <w:name w:val="CM4"/>
    <w:basedOn w:val="Default"/>
    <w:next w:val="Default"/>
    <w:uiPriority w:val="99"/>
    <w:rPr>
      <w:color w:val="auto"/>
    </w:rPr>
  </w:style>
  <w:style w:type="paragraph" w:customStyle="1" w:styleId="CM5">
    <w:name w:val="CM5"/>
    <w:basedOn w:val="Default"/>
    <w:next w:val="Default"/>
    <w:uiPriority w:val="99"/>
    <w:rPr>
      <w:color w:val="auto"/>
    </w:rPr>
  </w:style>
  <w:style w:type="paragraph" w:styleId="BalloonText">
    <w:name w:val="Balloon Text"/>
    <w:basedOn w:val="Normal"/>
    <w:link w:val="BalloonTextChar"/>
    <w:uiPriority w:val="99"/>
    <w:semiHidden/>
    <w:unhideWhenUsed/>
    <w:rsid w:val="00570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7B6"/>
    <w:rPr>
      <w:rFonts w:ascii="Tahoma" w:hAnsi="Tahoma" w:cs="Tahoma"/>
      <w:sz w:val="16"/>
      <w:szCs w:val="16"/>
    </w:rPr>
  </w:style>
  <w:style w:type="table" w:styleId="TableGrid">
    <w:name w:val="Table Grid"/>
    <w:basedOn w:val="TableNormal"/>
    <w:uiPriority w:val="59"/>
    <w:rsid w:val="00570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707B6"/>
    <w:pPr>
      <w:spacing w:after="240" w:line="240" w:lineRule="auto"/>
    </w:pPr>
    <w:rPr>
      <w:rFonts w:ascii="Times New Roman" w:eastAsia="Calibri" w:hAnsi="Times New Roman" w:cs="Times New Roman"/>
      <w:sz w:val="24"/>
      <w:szCs w:val="24"/>
    </w:rPr>
  </w:style>
  <w:style w:type="character" w:styleId="Strong">
    <w:name w:val="Strong"/>
    <w:uiPriority w:val="22"/>
    <w:qFormat/>
    <w:rsid w:val="005707B6"/>
    <w:rPr>
      <w:b/>
      <w:bCs/>
    </w:rPr>
  </w:style>
  <w:style w:type="paragraph" w:styleId="Header">
    <w:name w:val="header"/>
    <w:basedOn w:val="Normal"/>
    <w:link w:val="HeaderChar"/>
    <w:uiPriority w:val="99"/>
    <w:unhideWhenUsed/>
    <w:rsid w:val="00253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846"/>
  </w:style>
  <w:style w:type="paragraph" w:styleId="Footer">
    <w:name w:val="footer"/>
    <w:basedOn w:val="Normal"/>
    <w:link w:val="FooterChar"/>
    <w:uiPriority w:val="99"/>
    <w:unhideWhenUsed/>
    <w:rsid w:val="00253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846"/>
  </w:style>
  <w:style w:type="character" w:styleId="CommentReference">
    <w:name w:val="annotation reference"/>
    <w:basedOn w:val="DefaultParagraphFont"/>
    <w:uiPriority w:val="99"/>
    <w:semiHidden/>
    <w:unhideWhenUsed/>
    <w:rsid w:val="00730AA4"/>
    <w:rPr>
      <w:sz w:val="16"/>
      <w:szCs w:val="16"/>
    </w:rPr>
  </w:style>
  <w:style w:type="paragraph" w:styleId="CommentText">
    <w:name w:val="annotation text"/>
    <w:basedOn w:val="Normal"/>
    <w:link w:val="CommentTextChar"/>
    <w:uiPriority w:val="99"/>
    <w:semiHidden/>
    <w:unhideWhenUsed/>
    <w:rsid w:val="00730AA4"/>
    <w:pPr>
      <w:spacing w:line="240" w:lineRule="auto"/>
    </w:pPr>
    <w:rPr>
      <w:sz w:val="20"/>
      <w:szCs w:val="20"/>
    </w:rPr>
  </w:style>
  <w:style w:type="character" w:customStyle="1" w:styleId="CommentTextChar">
    <w:name w:val="Comment Text Char"/>
    <w:basedOn w:val="DefaultParagraphFont"/>
    <w:link w:val="CommentText"/>
    <w:uiPriority w:val="99"/>
    <w:semiHidden/>
    <w:rsid w:val="00730AA4"/>
    <w:rPr>
      <w:sz w:val="20"/>
      <w:szCs w:val="20"/>
    </w:rPr>
  </w:style>
  <w:style w:type="paragraph" w:styleId="CommentSubject">
    <w:name w:val="annotation subject"/>
    <w:basedOn w:val="CommentText"/>
    <w:next w:val="CommentText"/>
    <w:link w:val="CommentSubjectChar"/>
    <w:uiPriority w:val="99"/>
    <w:semiHidden/>
    <w:unhideWhenUsed/>
    <w:rsid w:val="00730AA4"/>
    <w:rPr>
      <w:b/>
      <w:bCs/>
    </w:rPr>
  </w:style>
  <w:style w:type="character" w:customStyle="1" w:styleId="CommentSubjectChar">
    <w:name w:val="Comment Subject Char"/>
    <w:basedOn w:val="CommentTextChar"/>
    <w:link w:val="CommentSubject"/>
    <w:uiPriority w:val="99"/>
    <w:semiHidden/>
    <w:rsid w:val="00730AA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customStyle="1" w:styleId="CM4">
    <w:name w:val="CM4"/>
    <w:basedOn w:val="Default"/>
    <w:next w:val="Default"/>
    <w:uiPriority w:val="99"/>
    <w:rPr>
      <w:color w:val="auto"/>
    </w:rPr>
  </w:style>
  <w:style w:type="paragraph" w:customStyle="1" w:styleId="CM5">
    <w:name w:val="CM5"/>
    <w:basedOn w:val="Default"/>
    <w:next w:val="Default"/>
    <w:uiPriority w:val="99"/>
    <w:rPr>
      <w:color w:val="auto"/>
    </w:rPr>
  </w:style>
  <w:style w:type="paragraph" w:styleId="BalloonText">
    <w:name w:val="Balloon Text"/>
    <w:basedOn w:val="Normal"/>
    <w:link w:val="BalloonTextChar"/>
    <w:uiPriority w:val="99"/>
    <w:semiHidden/>
    <w:unhideWhenUsed/>
    <w:rsid w:val="00570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7B6"/>
    <w:rPr>
      <w:rFonts w:ascii="Tahoma" w:hAnsi="Tahoma" w:cs="Tahoma"/>
      <w:sz w:val="16"/>
      <w:szCs w:val="16"/>
    </w:rPr>
  </w:style>
  <w:style w:type="table" w:styleId="TableGrid">
    <w:name w:val="Table Grid"/>
    <w:basedOn w:val="TableNormal"/>
    <w:uiPriority w:val="59"/>
    <w:rsid w:val="00570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707B6"/>
    <w:pPr>
      <w:spacing w:after="240" w:line="240" w:lineRule="auto"/>
    </w:pPr>
    <w:rPr>
      <w:rFonts w:ascii="Times New Roman" w:eastAsia="Calibri" w:hAnsi="Times New Roman" w:cs="Times New Roman"/>
      <w:sz w:val="24"/>
      <w:szCs w:val="24"/>
    </w:rPr>
  </w:style>
  <w:style w:type="character" w:styleId="Strong">
    <w:name w:val="Strong"/>
    <w:uiPriority w:val="22"/>
    <w:qFormat/>
    <w:rsid w:val="005707B6"/>
    <w:rPr>
      <w:b/>
      <w:bCs/>
    </w:rPr>
  </w:style>
  <w:style w:type="paragraph" w:styleId="Header">
    <w:name w:val="header"/>
    <w:basedOn w:val="Normal"/>
    <w:link w:val="HeaderChar"/>
    <w:uiPriority w:val="99"/>
    <w:unhideWhenUsed/>
    <w:rsid w:val="00253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846"/>
  </w:style>
  <w:style w:type="paragraph" w:styleId="Footer">
    <w:name w:val="footer"/>
    <w:basedOn w:val="Normal"/>
    <w:link w:val="FooterChar"/>
    <w:uiPriority w:val="99"/>
    <w:unhideWhenUsed/>
    <w:rsid w:val="00253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846"/>
  </w:style>
  <w:style w:type="character" w:styleId="CommentReference">
    <w:name w:val="annotation reference"/>
    <w:basedOn w:val="DefaultParagraphFont"/>
    <w:uiPriority w:val="99"/>
    <w:semiHidden/>
    <w:unhideWhenUsed/>
    <w:rsid w:val="00730AA4"/>
    <w:rPr>
      <w:sz w:val="16"/>
      <w:szCs w:val="16"/>
    </w:rPr>
  </w:style>
  <w:style w:type="paragraph" w:styleId="CommentText">
    <w:name w:val="annotation text"/>
    <w:basedOn w:val="Normal"/>
    <w:link w:val="CommentTextChar"/>
    <w:uiPriority w:val="99"/>
    <w:semiHidden/>
    <w:unhideWhenUsed/>
    <w:rsid w:val="00730AA4"/>
    <w:pPr>
      <w:spacing w:line="240" w:lineRule="auto"/>
    </w:pPr>
    <w:rPr>
      <w:sz w:val="20"/>
      <w:szCs w:val="20"/>
    </w:rPr>
  </w:style>
  <w:style w:type="character" w:customStyle="1" w:styleId="CommentTextChar">
    <w:name w:val="Comment Text Char"/>
    <w:basedOn w:val="DefaultParagraphFont"/>
    <w:link w:val="CommentText"/>
    <w:uiPriority w:val="99"/>
    <w:semiHidden/>
    <w:rsid w:val="00730AA4"/>
    <w:rPr>
      <w:sz w:val="20"/>
      <w:szCs w:val="20"/>
    </w:rPr>
  </w:style>
  <w:style w:type="paragraph" w:styleId="CommentSubject">
    <w:name w:val="annotation subject"/>
    <w:basedOn w:val="CommentText"/>
    <w:next w:val="CommentText"/>
    <w:link w:val="CommentSubjectChar"/>
    <w:uiPriority w:val="99"/>
    <w:semiHidden/>
    <w:unhideWhenUsed/>
    <w:rsid w:val="00730AA4"/>
    <w:rPr>
      <w:b/>
      <w:bCs/>
    </w:rPr>
  </w:style>
  <w:style w:type="character" w:customStyle="1" w:styleId="CommentSubjectChar">
    <w:name w:val="Comment Subject Char"/>
    <w:basedOn w:val="CommentTextChar"/>
    <w:link w:val="CommentSubject"/>
    <w:uiPriority w:val="99"/>
    <w:semiHidden/>
    <w:rsid w:val="00730A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47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C4E54-C6B4-44B5-936D-16E399B02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1493</Words>
  <Characters>7883</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Microsoft Word - DE2099i draft 3.doc</vt:lpstr>
    </vt:vector>
  </TitlesOfParts>
  <Company>Yamhill County</Company>
  <LinksUpToDate>false</LinksUpToDate>
  <CharactersWithSpaces>9358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DE2099i draft 3.doc</dc:title>
  <dc:creator>PHANSEN</dc:creator>
  <cp:lastModifiedBy>Craig Hinrichs</cp:lastModifiedBy>
  <cp:revision>4</cp:revision>
  <dcterms:created xsi:type="dcterms:W3CDTF">2015-03-25T17:21:00Z</dcterms:created>
  <dcterms:modified xsi:type="dcterms:W3CDTF">2015-03-27T20:58:00Z</dcterms:modified>
</cp:coreProperties>
</file>